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51BF5E" w14:textId="2338FB60" w:rsidR="008416B4" w:rsidRPr="00F67398" w:rsidRDefault="008416B4" w:rsidP="008416B4">
      <w:pPr>
        <w:spacing w:after="120"/>
        <w:ind w:left="1985" w:hanging="1985"/>
        <w:rPr>
          <w:rFonts w:ascii="Arial" w:hAnsi="Arial"/>
          <w:b/>
          <w:noProof/>
          <w:sz w:val="24"/>
          <w:lang w:val="en-US"/>
        </w:rPr>
      </w:pPr>
      <w:bookmarkStart w:id="0" w:name="page1"/>
      <w:r w:rsidRPr="00F67398">
        <w:rPr>
          <w:rFonts w:ascii="Arial" w:hAnsi="Arial"/>
          <w:b/>
          <w:noProof/>
          <w:sz w:val="24"/>
          <w:lang w:val="en-US"/>
        </w:rPr>
        <w:t>3GPP TSG-RAN WG4 Meeting #</w:t>
      </w:r>
      <w:r>
        <w:rPr>
          <w:rFonts w:ascii="Arial" w:hAnsi="Arial"/>
          <w:b/>
          <w:noProof/>
          <w:sz w:val="24"/>
          <w:lang w:val="en-US"/>
        </w:rPr>
        <w:t>10</w:t>
      </w:r>
      <w:r w:rsidR="00D26202">
        <w:rPr>
          <w:rFonts w:ascii="Arial" w:hAnsi="Arial"/>
          <w:b/>
          <w:noProof/>
          <w:sz w:val="24"/>
          <w:lang w:val="en-US"/>
        </w:rPr>
        <w:t>1</w:t>
      </w:r>
      <w:r>
        <w:rPr>
          <w:rFonts w:ascii="Arial" w:hAnsi="Arial"/>
          <w:b/>
          <w:noProof/>
          <w:sz w:val="24"/>
          <w:lang w:val="en-US"/>
        </w:rPr>
        <w:t>-e</w:t>
      </w:r>
      <w:r>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007C3143" w:rsidRPr="007C3143">
        <w:rPr>
          <w:rFonts w:ascii="Arial" w:hAnsi="Arial"/>
          <w:b/>
          <w:noProof/>
          <w:sz w:val="24"/>
          <w:lang w:val="en-US"/>
        </w:rPr>
        <w:t>R4-2118612</w:t>
      </w:r>
    </w:p>
    <w:p w14:paraId="26274C9F" w14:textId="15AF23E5" w:rsidR="008416B4" w:rsidRDefault="008416B4" w:rsidP="008416B4">
      <w:pPr>
        <w:spacing w:after="120"/>
        <w:ind w:left="1985" w:hanging="1985"/>
        <w:rPr>
          <w:rFonts w:ascii="Arial" w:hAnsi="Arial"/>
          <w:b/>
          <w:noProof/>
          <w:sz w:val="24"/>
          <w:lang w:val="en-US"/>
        </w:rPr>
      </w:pPr>
      <w:r w:rsidRPr="00F67398">
        <w:rPr>
          <w:rFonts w:ascii="Arial" w:hAnsi="Arial"/>
          <w:b/>
          <w:noProof/>
          <w:sz w:val="24"/>
          <w:lang w:val="en-US"/>
        </w:rPr>
        <w:t xml:space="preserve">Electronic meeting, </w:t>
      </w:r>
      <w:r w:rsidR="00D26202">
        <w:rPr>
          <w:rFonts w:ascii="Arial" w:hAnsi="Arial"/>
          <w:b/>
          <w:noProof/>
          <w:sz w:val="24"/>
          <w:lang w:val="en-US"/>
        </w:rPr>
        <w:t>Nov</w:t>
      </w:r>
      <w:r>
        <w:rPr>
          <w:rFonts w:ascii="Arial" w:hAnsi="Arial"/>
          <w:b/>
          <w:noProof/>
          <w:sz w:val="24"/>
          <w:lang w:val="en-US"/>
        </w:rPr>
        <w:t xml:space="preserve"> 1</w:t>
      </w:r>
      <w:r w:rsidR="00D26202">
        <w:rPr>
          <w:rFonts w:ascii="Arial" w:hAnsi="Arial"/>
          <w:b/>
          <w:noProof/>
          <w:sz w:val="24"/>
          <w:vertAlign w:val="superscript"/>
          <w:lang w:val="en-US"/>
        </w:rPr>
        <w:t>st</w:t>
      </w:r>
      <w:r w:rsidRPr="00516441">
        <w:rPr>
          <w:rFonts w:ascii="Arial" w:hAnsi="Arial"/>
          <w:b/>
          <w:noProof/>
          <w:sz w:val="24"/>
          <w:lang w:val="en-US"/>
        </w:rPr>
        <w:t xml:space="preserve"> – </w:t>
      </w:r>
      <w:r w:rsidR="00D26202">
        <w:rPr>
          <w:rFonts w:ascii="Arial" w:hAnsi="Arial"/>
          <w:b/>
          <w:noProof/>
          <w:sz w:val="24"/>
          <w:lang w:val="en-US"/>
        </w:rPr>
        <w:t>12</w:t>
      </w:r>
      <w:r>
        <w:rPr>
          <w:rFonts w:ascii="Arial" w:hAnsi="Arial"/>
          <w:b/>
          <w:noProof/>
          <w:sz w:val="24"/>
          <w:vertAlign w:val="superscript"/>
          <w:lang w:val="en-US"/>
        </w:rPr>
        <w:t>th</w:t>
      </w:r>
      <w:r w:rsidRPr="00516441">
        <w:rPr>
          <w:rFonts w:ascii="Arial" w:hAnsi="Arial"/>
          <w:b/>
          <w:noProof/>
          <w:sz w:val="24"/>
          <w:lang w:val="en-US"/>
        </w:rPr>
        <w:t xml:space="preserve"> 202</w:t>
      </w:r>
      <w:r>
        <w:rPr>
          <w:rFonts w:ascii="Arial" w:hAnsi="Arial"/>
          <w:b/>
          <w:noProof/>
          <w:sz w:val="24"/>
          <w:lang w:val="en-US"/>
        </w:rPr>
        <w:t>1</w:t>
      </w:r>
    </w:p>
    <w:p w14:paraId="0C019310" w14:textId="77777777" w:rsidR="00FB144B" w:rsidRDefault="00FB144B" w:rsidP="00FB144B">
      <w:pPr>
        <w:spacing w:after="120"/>
        <w:ind w:left="1985" w:hanging="1985"/>
        <w:rPr>
          <w:rFonts w:ascii="Arial" w:hAnsi="Arial" w:cs="Arial"/>
          <w:b/>
          <w:lang w:val="en-US"/>
        </w:rPr>
      </w:pPr>
    </w:p>
    <w:p w14:paraId="33738B61" w14:textId="77777777" w:rsidR="00FB144B" w:rsidRPr="00A51BCB" w:rsidRDefault="00FB144B" w:rsidP="00FB144B">
      <w:pPr>
        <w:spacing w:after="120"/>
        <w:ind w:left="1985" w:hanging="1985"/>
        <w:rPr>
          <w:rFonts w:ascii="Arial" w:hAnsi="Arial" w:cs="Arial"/>
          <w:bCs/>
          <w:lang w:val="en-US"/>
        </w:rPr>
      </w:pPr>
      <w:r w:rsidRPr="00A51BCB">
        <w:rPr>
          <w:rFonts w:ascii="Arial" w:hAnsi="Arial" w:cs="Arial"/>
          <w:b/>
          <w:lang w:val="en-US"/>
        </w:rPr>
        <w:t>Source:</w:t>
      </w:r>
      <w:r w:rsidRPr="00A51BCB">
        <w:rPr>
          <w:rFonts w:ascii="Arial" w:hAnsi="Arial" w:cs="Arial"/>
          <w:b/>
          <w:lang w:val="en-US"/>
        </w:rPr>
        <w:tab/>
      </w:r>
      <w:r>
        <w:rPr>
          <w:rFonts w:ascii="Arial" w:hAnsi="Arial" w:cs="Arial"/>
          <w:bCs/>
          <w:lang w:val="en-US"/>
        </w:rPr>
        <w:t>Nokia, Nokia</w:t>
      </w:r>
      <w:r w:rsidRPr="00A0242A">
        <w:rPr>
          <w:rFonts w:ascii="Arial" w:hAnsi="Arial" w:cs="Arial"/>
          <w:bCs/>
          <w:lang w:val="en-US"/>
        </w:rPr>
        <w:t xml:space="preserve"> Shanghai Bell</w:t>
      </w:r>
    </w:p>
    <w:p w14:paraId="72B6D569" w14:textId="7D0930FF" w:rsidR="00FB144B" w:rsidRPr="00E02C7F" w:rsidRDefault="00FB144B" w:rsidP="00FB144B">
      <w:pPr>
        <w:spacing w:after="120"/>
        <w:ind w:left="1985" w:hanging="1985"/>
        <w:rPr>
          <w:rFonts w:ascii="Arial" w:hAnsi="Arial" w:cs="Arial"/>
          <w:sz w:val="22"/>
        </w:rPr>
      </w:pPr>
      <w:r w:rsidRPr="00A51BCB">
        <w:rPr>
          <w:rFonts w:ascii="Arial" w:hAnsi="Arial" w:cs="Arial"/>
          <w:b/>
          <w:lang w:val="en-US"/>
        </w:rPr>
        <w:t>Title:</w:t>
      </w:r>
      <w:r w:rsidRPr="00A51BCB">
        <w:rPr>
          <w:rFonts w:ascii="Arial" w:hAnsi="Arial" w:cs="Arial"/>
          <w:b/>
          <w:lang w:val="en-US"/>
        </w:rPr>
        <w:tab/>
      </w:r>
      <w:r w:rsidR="00810566" w:rsidRPr="00810566">
        <w:rPr>
          <w:rFonts w:ascii="Arial" w:hAnsi="Arial" w:cs="Arial"/>
          <w:b/>
          <w:lang w:val="en-US"/>
        </w:rPr>
        <w:t xml:space="preserve">On </w:t>
      </w:r>
      <w:bookmarkStart w:id="1" w:name="_Hlk67397859"/>
      <w:r w:rsidR="00810566" w:rsidRPr="00810566">
        <w:rPr>
          <w:rFonts w:ascii="Arial" w:hAnsi="Arial" w:cs="Arial"/>
          <w:b/>
          <w:lang w:val="en-US"/>
        </w:rPr>
        <w:t>UE Tx RF aspects for a NR band in the range 52.6GHz – 71GHz</w:t>
      </w:r>
      <w:bookmarkEnd w:id="1"/>
    </w:p>
    <w:p w14:paraId="6B2620CB" w14:textId="5C104580" w:rsidR="00FB144B" w:rsidRPr="00A0242A" w:rsidRDefault="00FB144B" w:rsidP="00FB144B">
      <w:pPr>
        <w:spacing w:after="120"/>
        <w:ind w:left="1985" w:hanging="1985"/>
        <w:rPr>
          <w:rFonts w:ascii="Arial" w:hAnsi="Arial" w:cs="Arial"/>
          <w:bCs/>
          <w:lang w:val="en-US"/>
        </w:rPr>
      </w:pPr>
      <w:r w:rsidRPr="00A51BCB">
        <w:rPr>
          <w:rFonts w:ascii="Arial" w:hAnsi="Arial" w:cs="Arial"/>
          <w:b/>
          <w:lang w:val="en-US"/>
        </w:rPr>
        <w:t>Agenda item:</w:t>
      </w:r>
      <w:r w:rsidRPr="00A51BCB">
        <w:rPr>
          <w:rFonts w:ascii="Arial" w:hAnsi="Arial" w:cs="Arial"/>
          <w:b/>
          <w:lang w:val="en-US"/>
        </w:rPr>
        <w:tab/>
      </w:r>
      <w:r w:rsidR="00D26202">
        <w:rPr>
          <w:rFonts w:ascii="Arial" w:hAnsi="Arial" w:cs="Arial"/>
          <w:lang w:val="en-US"/>
        </w:rPr>
        <w:t>8</w:t>
      </w:r>
      <w:r>
        <w:rPr>
          <w:rFonts w:ascii="Arial" w:hAnsi="Arial" w:cs="Arial"/>
          <w:lang w:val="en-US"/>
        </w:rPr>
        <w:t>.</w:t>
      </w:r>
      <w:r w:rsidR="007C5877">
        <w:rPr>
          <w:rFonts w:ascii="Arial" w:hAnsi="Arial" w:cs="Arial"/>
          <w:lang w:val="en-US"/>
        </w:rPr>
        <w:t>16</w:t>
      </w:r>
      <w:r>
        <w:rPr>
          <w:rFonts w:ascii="Arial" w:hAnsi="Arial" w:cs="Arial"/>
          <w:lang w:val="en-US"/>
        </w:rPr>
        <w:t>.</w:t>
      </w:r>
      <w:r w:rsidR="00D26202">
        <w:rPr>
          <w:rFonts w:ascii="Arial" w:hAnsi="Arial" w:cs="Arial"/>
          <w:lang w:val="en-US"/>
        </w:rPr>
        <w:t>3</w:t>
      </w:r>
      <w:r w:rsidR="00810566">
        <w:rPr>
          <w:rFonts w:ascii="Arial" w:hAnsi="Arial" w:cs="Arial"/>
          <w:lang w:val="en-US"/>
        </w:rPr>
        <w:t>.1</w:t>
      </w:r>
    </w:p>
    <w:p w14:paraId="30C4EB22" w14:textId="77777777" w:rsidR="00FB144B" w:rsidRPr="00A51BCB" w:rsidRDefault="00FB144B" w:rsidP="00FB144B">
      <w:pPr>
        <w:spacing w:after="120"/>
        <w:ind w:left="1985" w:hanging="1985"/>
        <w:rPr>
          <w:rFonts w:ascii="Arial" w:hAnsi="Arial" w:cs="Arial"/>
          <w:bCs/>
          <w:lang w:val="en-US"/>
        </w:rPr>
      </w:pPr>
      <w:r w:rsidRPr="00A51BCB">
        <w:rPr>
          <w:rFonts w:ascii="Arial" w:hAnsi="Arial" w:cs="Arial"/>
          <w:b/>
          <w:lang w:val="en-US"/>
        </w:rPr>
        <w:t>Document for:</w:t>
      </w:r>
      <w:r w:rsidRPr="00A51BCB">
        <w:rPr>
          <w:rFonts w:ascii="Arial" w:hAnsi="Arial" w:cs="Arial"/>
          <w:b/>
          <w:lang w:val="en-US"/>
        </w:rPr>
        <w:tab/>
      </w:r>
      <w:r>
        <w:rPr>
          <w:rFonts w:ascii="Arial" w:hAnsi="Arial" w:cs="Arial"/>
          <w:bCs/>
          <w:lang w:val="en-US"/>
        </w:rPr>
        <w:t>Approval</w:t>
      </w:r>
    </w:p>
    <w:p w14:paraId="155F2F2C" w14:textId="77777777" w:rsidR="00904C26" w:rsidRDefault="00904C26" w:rsidP="00904C26">
      <w:pPr>
        <w:pStyle w:val="Heading1"/>
        <w:numPr>
          <w:ilvl w:val="0"/>
          <w:numId w:val="19"/>
        </w:numPr>
        <w:rPr>
          <w:lang w:val="en-US"/>
        </w:rPr>
      </w:pPr>
      <w:r w:rsidRPr="00A51BCB">
        <w:rPr>
          <w:lang w:val="en-US"/>
        </w:rPr>
        <w:t>Introduction</w:t>
      </w:r>
    </w:p>
    <w:p w14:paraId="6ACDBF00" w14:textId="4DC2B697" w:rsidR="00DC668B" w:rsidRPr="00DC668B" w:rsidRDefault="00DC668B" w:rsidP="00DC668B">
      <w:pPr>
        <w:rPr>
          <w:lang w:val="en-US"/>
        </w:rPr>
      </w:pPr>
      <w:r w:rsidRPr="00DC668B">
        <w:rPr>
          <w:lang w:val="en-US"/>
        </w:rPr>
        <w:t xml:space="preserve">The </w:t>
      </w:r>
      <w:r w:rsidR="0043162D">
        <w:rPr>
          <w:lang w:val="en-US"/>
        </w:rPr>
        <w:t xml:space="preserve">latest WID </w:t>
      </w:r>
      <w:r w:rsidR="004D6000">
        <w:rPr>
          <w:lang w:val="en-US"/>
        </w:rPr>
        <w:t>on e</w:t>
      </w:r>
      <w:r w:rsidR="004D6000" w:rsidRPr="004D6000">
        <w:rPr>
          <w:lang w:val="en-US"/>
        </w:rPr>
        <w:t xml:space="preserve">xtending current NR operation to 71GHz </w:t>
      </w:r>
      <w:r w:rsidRPr="00DC668B">
        <w:rPr>
          <w:lang w:val="en-US"/>
        </w:rPr>
        <w:fldChar w:fldCharType="begin"/>
      </w:r>
      <w:r w:rsidRPr="00DC668B">
        <w:rPr>
          <w:lang w:val="en-US"/>
        </w:rPr>
        <w:instrText xml:space="preserve"> REF _Ref31097917 \n \h  \* MERGEFORMAT </w:instrText>
      </w:r>
      <w:r w:rsidRPr="00DC668B">
        <w:rPr>
          <w:lang w:val="en-US"/>
        </w:rPr>
      </w:r>
      <w:r w:rsidRPr="00DC668B">
        <w:rPr>
          <w:lang w:val="en-US"/>
        </w:rPr>
        <w:fldChar w:fldCharType="separate"/>
      </w:r>
      <w:r w:rsidRPr="00DC668B">
        <w:rPr>
          <w:lang w:val="en-US"/>
        </w:rPr>
        <w:t>[1]</w:t>
      </w:r>
      <w:r w:rsidRPr="00DC668B">
        <w:rPr>
          <w:lang w:val="en-US"/>
        </w:rPr>
        <w:fldChar w:fldCharType="end"/>
      </w:r>
      <w:r w:rsidRPr="00DC668B">
        <w:rPr>
          <w:lang w:val="en-US"/>
        </w:rPr>
        <w:t xml:space="preserve"> was approved at RAN#</w:t>
      </w:r>
      <w:r w:rsidR="004C489F">
        <w:rPr>
          <w:lang w:val="en-US"/>
        </w:rPr>
        <w:t>92</w:t>
      </w:r>
      <w:r w:rsidRPr="00DC668B">
        <w:rPr>
          <w:lang w:val="en-US"/>
        </w:rPr>
        <w:t xml:space="preserve">. Before that, 3GPP RAN studied requirements for NR beyond 52.6GHz up to 114.25GHz, potential use cases and deployment scenarios, and NR system design requirements and considerations on top of regulatory requirements </w:t>
      </w:r>
      <w:r w:rsidR="004D6000">
        <w:rPr>
          <w:lang w:val="en-US"/>
        </w:rPr>
        <w:t xml:space="preserve">as captured in </w:t>
      </w:r>
      <w:r w:rsidRPr="00DC668B">
        <w:rPr>
          <w:lang w:val="en-US"/>
        </w:rPr>
        <w:fldChar w:fldCharType="begin"/>
      </w:r>
      <w:r w:rsidRPr="00DC668B">
        <w:rPr>
          <w:lang w:val="en-US"/>
        </w:rPr>
        <w:instrText xml:space="preserve"> REF _Ref31097951 \n \h  \* MERGEFORMAT </w:instrText>
      </w:r>
      <w:r w:rsidRPr="00DC668B">
        <w:rPr>
          <w:lang w:val="en-US"/>
        </w:rPr>
      </w:r>
      <w:r w:rsidRPr="00DC668B">
        <w:rPr>
          <w:lang w:val="en-US"/>
        </w:rPr>
        <w:fldChar w:fldCharType="separate"/>
      </w:r>
      <w:r w:rsidRPr="00DC668B">
        <w:rPr>
          <w:lang w:val="en-US"/>
        </w:rPr>
        <w:t>[2]</w:t>
      </w:r>
      <w:r w:rsidRPr="00DC668B">
        <w:rPr>
          <w:lang w:val="en-US"/>
        </w:rPr>
        <w:fldChar w:fldCharType="end"/>
      </w:r>
      <w:r w:rsidRPr="00DC668B">
        <w:rPr>
          <w:lang w:val="en-US"/>
        </w:rPr>
        <w:t xml:space="preserve">. </w:t>
      </w:r>
    </w:p>
    <w:p w14:paraId="722559E9" w14:textId="77777777" w:rsidR="00DC668B" w:rsidRPr="00DC668B" w:rsidRDefault="00DC668B" w:rsidP="00DC668B">
      <w:pPr>
        <w:rPr>
          <w:lang w:val="en-US"/>
        </w:rPr>
      </w:pPr>
      <w:r w:rsidRPr="00DC668B">
        <w:rPr>
          <w:lang w:val="en-US"/>
        </w:rPr>
        <w:t>In this contribution UE RF related aspects are discussed.</w:t>
      </w:r>
    </w:p>
    <w:p w14:paraId="487F6950" w14:textId="4859A687" w:rsidR="0084582F" w:rsidRDefault="00904C26" w:rsidP="0084582F">
      <w:pPr>
        <w:pStyle w:val="Heading1"/>
        <w:numPr>
          <w:ilvl w:val="0"/>
          <w:numId w:val="19"/>
        </w:numPr>
      </w:pPr>
      <w:r>
        <w:t>Discussion</w:t>
      </w:r>
    </w:p>
    <w:p w14:paraId="23A41657" w14:textId="3E689BCD" w:rsidR="00B519F6" w:rsidRPr="007110AC" w:rsidRDefault="00B519F6" w:rsidP="00B519F6">
      <w:pPr>
        <w:pStyle w:val="Heading4"/>
      </w:pPr>
      <w:r>
        <w:rPr>
          <w:lang w:val="en-US"/>
        </w:rPr>
        <w:t>Achievable power</w:t>
      </w:r>
      <w:r w:rsidR="00F214E8">
        <w:rPr>
          <w:lang w:val="en-US"/>
        </w:rPr>
        <w:t xml:space="preserve"> and Power Class(es) </w:t>
      </w:r>
    </w:p>
    <w:p w14:paraId="68F9C9B1" w14:textId="78FCFB4C" w:rsidR="00B519F6" w:rsidRPr="003E1FB9" w:rsidRDefault="00B519F6" w:rsidP="00B519F6">
      <w:r>
        <w:t xml:space="preserve">Practically achievable maximum transmit power for NR </w:t>
      </w:r>
      <w:r w:rsidR="004A79D5">
        <w:t>in the frequency range</w:t>
      </w:r>
      <w:r>
        <w:t xml:space="preserve"> 52.6-71 GHz</w:t>
      </w:r>
      <w:r w:rsidR="004A79D5">
        <w:t xml:space="preserve"> (FR2-2)</w:t>
      </w:r>
      <w:r>
        <w:t xml:space="preserve"> depends on the number of practical implementation imperfections while also ensuring that number of different requirements like spectrum emission mask (SEM), occupied bandwidth (OBW), modulation quality measured in terms of EVM (Error Vector Magnitude) and in-band emissions (IBE) are met. We have done MPR (Maximum Power Reduction) simulations for a Power class 3 UE (max. 23 dBm transmission power) using practical PA model to analyse how much the maximum UE Tx power may need to be reduced for meeting these requirements and which of the requirement is the limiting factor for the achievable UE Tx power. In previous meeting we have provided examples of achievable output power by MPR simulations [3], where UE was required to meet current FR2 requirements. </w:t>
      </w:r>
    </w:p>
    <w:p w14:paraId="51BB6D15" w14:textId="26C00868" w:rsidR="00B519F6" w:rsidRDefault="00B519F6" w:rsidP="00B519F6">
      <w:r w:rsidRPr="003E1FB9">
        <w:t xml:space="preserve">As discussed </w:t>
      </w:r>
      <w:r>
        <w:t>in [3]</w:t>
      </w:r>
      <w:r w:rsidRPr="003E1FB9">
        <w:t xml:space="preserve">, phase noise is limiting link performance especially with higher order modulations. These MPR simulation results show that the achievable maximum transmit power is often limited by the EVM performance especially with the higher order modulations. Also, phase noise is a significant contributor to EVM. In order to avoid further coverage reductions due to poor phase noise performance and large MPR for meeting the EVM requirements, it would be important to design NR </w:t>
      </w:r>
      <w:r w:rsidR="004A79D5">
        <w:t xml:space="preserve">FR2-2 </w:t>
      </w:r>
      <w:r w:rsidRPr="003E1FB9">
        <w:t xml:space="preserve"> so that phase noise degradations in link performance can be minimized.</w:t>
      </w:r>
    </w:p>
    <w:p w14:paraId="1E549A0B" w14:textId="77777777" w:rsidR="00B519F6" w:rsidRDefault="00B519F6" w:rsidP="00B519F6">
      <w:bookmarkStart w:id="2" w:name="_Hlk54351566"/>
      <w:r>
        <w:t>Achievable UE output power was also evaluated for different array sizes. The results have been captured to table 1.</w:t>
      </w:r>
    </w:p>
    <w:p w14:paraId="2EA6628D" w14:textId="77777777" w:rsidR="00B519F6" w:rsidRPr="002E0CD4" w:rsidRDefault="00B519F6" w:rsidP="00B519F6">
      <w:pPr>
        <w:jc w:val="center"/>
        <w:rPr>
          <w:b/>
          <w:bCs/>
        </w:rPr>
      </w:pPr>
      <w:r w:rsidRPr="002E0CD4">
        <w:rPr>
          <w:b/>
          <w:bCs/>
        </w:rPr>
        <w:t>Table 1: Achievable UE output power for different array sizes</w:t>
      </w:r>
    </w:p>
    <w:tbl>
      <w:tblPr>
        <w:tblW w:w="7414" w:type="dxa"/>
        <w:jc w:val="center"/>
        <w:tblCellMar>
          <w:left w:w="70" w:type="dxa"/>
          <w:right w:w="70" w:type="dxa"/>
        </w:tblCellMar>
        <w:tblLook w:val="04A0" w:firstRow="1" w:lastRow="0" w:firstColumn="1" w:lastColumn="0" w:noHBand="0" w:noVBand="1"/>
      </w:tblPr>
      <w:tblGrid>
        <w:gridCol w:w="2394"/>
        <w:gridCol w:w="960"/>
        <w:gridCol w:w="1015"/>
        <w:gridCol w:w="1015"/>
        <w:gridCol w:w="1015"/>
        <w:gridCol w:w="1015"/>
      </w:tblGrid>
      <w:tr w:rsidR="00B519F6" w:rsidRPr="002E0CD4" w14:paraId="1B98B923" w14:textId="77777777" w:rsidTr="0033471F">
        <w:trPr>
          <w:trHeight w:val="20"/>
          <w:jc w:val="center"/>
        </w:trPr>
        <w:tc>
          <w:tcPr>
            <w:tcW w:w="23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1F8ACC" w14:textId="77777777" w:rsidR="00B519F6" w:rsidRPr="002E0CD4" w:rsidRDefault="00B519F6" w:rsidP="004C5B4E">
            <w:pPr>
              <w:spacing w:after="0"/>
              <w:jc w:val="center"/>
              <w:rPr>
                <w:rFonts w:ascii="Arial" w:hAnsi="Arial" w:cs="Arial"/>
                <w:b/>
                <w:bCs/>
                <w:color w:val="000000"/>
                <w:sz w:val="18"/>
                <w:szCs w:val="18"/>
                <w:lang w:val="fi-FI" w:eastAsia="fi-FI"/>
              </w:rPr>
            </w:pPr>
            <w:r w:rsidRPr="002E0CD4">
              <w:rPr>
                <w:rFonts w:ascii="Arial" w:hAnsi="Arial" w:cs="Arial"/>
                <w:b/>
                <w:bCs/>
                <w:color w:val="000000"/>
                <w:sz w:val="18"/>
                <w:szCs w:val="18"/>
                <w:lang w:eastAsia="fi-FI"/>
              </w:rPr>
              <w:t>Parameter</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151C8A34" w14:textId="77777777" w:rsidR="00B519F6" w:rsidRPr="002E0CD4" w:rsidRDefault="00B519F6" w:rsidP="004C5B4E">
            <w:pPr>
              <w:spacing w:after="0"/>
              <w:jc w:val="center"/>
              <w:rPr>
                <w:rFonts w:ascii="Arial" w:hAnsi="Arial" w:cs="Arial"/>
                <w:b/>
                <w:bCs/>
                <w:color w:val="000000"/>
                <w:sz w:val="18"/>
                <w:szCs w:val="18"/>
                <w:lang w:val="fi-FI" w:eastAsia="fi-FI"/>
              </w:rPr>
            </w:pPr>
            <w:r w:rsidRPr="002E0CD4">
              <w:rPr>
                <w:rFonts w:ascii="Arial" w:hAnsi="Arial" w:cs="Arial"/>
                <w:b/>
                <w:bCs/>
                <w:color w:val="000000"/>
                <w:sz w:val="18"/>
                <w:szCs w:val="18"/>
                <w:lang w:eastAsia="fi-FI"/>
              </w:rPr>
              <w:t>Unit</w:t>
            </w:r>
          </w:p>
        </w:tc>
        <w:tc>
          <w:tcPr>
            <w:tcW w:w="4060" w:type="dxa"/>
            <w:gridSpan w:val="4"/>
            <w:tcBorders>
              <w:top w:val="single" w:sz="4" w:space="0" w:color="auto"/>
              <w:left w:val="nil"/>
              <w:bottom w:val="single" w:sz="4" w:space="0" w:color="auto"/>
              <w:right w:val="single" w:sz="4" w:space="0" w:color="auto"/>
            </w:tcBorders>
            <w:shd w:val="clear" w:color="auto" w:fill="auto"/>
            <w:noWrap/>
            <w:vAlign w:val="center"/>
            <w:hideMark/>
          </w:tcPr>
          <w:p w14:paraId="02EEBB6B" w14:textId="77777777" w:rsidR="00B519F6" w:rsidRPr="002E0CD4" w:rsidRDefault="00B519F6" w:rsidP="004C5B4E">
            <w:pPr>
              <w:spacing w:after="0"/>
              <w:jc w:val="center"/>
              <w:rPr>
                <w:rFonts w:ascii="Arial" w:hAnsi="Arial" w:cs="Arial"/>
                <w:b/>
                <w:bCs/>
                <w:color w:val="000000"/>
                <w:sz w:val="18"/>
                <w:szCs w:val="18"/>
                <w:lang w:val="fi-FI" w:eastAsia="fi-FI"/>
              </w:rPr>
            </w:pPr>
            <w:r w:rsidRPr="002E0CD4">
              <w:rPr>
                <w:rFonts w:ascii="Arial" w:hAnsi="Arial" w:cs="Arial"/>
                <w:b/>
                <w:bCs/>
                <w:color w:val="000000"/>
                <w:sz w:val="18"/>
                <w:szCs w:val="18"/>
                <w:lang w:val="fi-FI" w:eastAsia="fi-FI"/>
              </w:rPr>
              <w:t>Value</w:t>
            </w:r>
          </w:p>
        </w:tc>
      </w:tr>
      <w:tr w:rsidR="00B519F6" w:rsidRPr="002E0CD4" w14:paraId="4A4A0C9E" w14:textId="77777777" w:rsidTr="0033471F">
        <w:trPr>
          <w:trHeight w:val="20"/>
          <w:jc w:val="center"/>
        </w:trPr>
        <w:tc>
          <w:tcPr>
            <w:tcW w:w="2394" w:type="dxa"/>
            <w:tcBorders>
              <w:top w:val="nil"/>
              <w:left w:val="single" w:sz="4" w:space="0" w:color="auto"/>
              <w:bottom w:val="single" w:sz="4" w:space="0" w:color="auto"/>
              <w:right w:val="single" w:sz="4" w:space="0" w:color="auto"/>
            </w:tcBorders>
            <w:shd w:val="clear" w:color="auto" w:fill="auto"/>
            <w:vAlign w:val="center"/>
            <w:hideMark/>
          </w:tcPr>
          <w:p w14:paraId="4D032F36"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 ant elements per polarization</w:t>
            </w:r>
          </w:p>
        </w:tc>
        <w:tc>
          <w:tcPr>
            <w:tcW w:w="960" w:type="dxa"/>
            <w:tcBorders>
              <w:top w:val="nil"/>
              <w:left w:val="nil"/>
              <w:bottom w:val="single" w:sz="4" w:space="0" w:color="auto"/>
              <w:right w:val="single" w:sz="4" w:space="0" w:color="auto"/>
            </w:tcBorders>
            <w:shd w:val="clear" w:color="auto" w:fill="auto"/>
            <w:vAlign w:val="center"/>
            <w:hideMark/>
          </w:tcPr>
          <w:p w14:paraId="0E36FDA4" w14:textId="77777777" w:rsidR="00B519F6" w:rsidRPr="002E0CD4" w:rsidRDefault="00B519F6" w:rsidP="004C5B4E">
            <w:pPr>
              <w:spacing w:after="0"/>
              <w:jc w:val="center"/>
              <w:rPr>
                <w:rFonts w:ascii="Arial" w:hAnsi="Arial" w:cs="Arial"/>
                <w:color w:val="000000"/>
                <w:sz w:val="18"/>
                <w:szCs w:val="18"/>
                <w:lang w:eastAsia="fi-FI"/>
              </w:rPr>
            </w:pPr>
          </w:p>
        </w:tc>
        <w:tc>
          <w:tcPr>
            <w:tcW w:w="1015" w:type="dxa"/>
            <w:tcBorders>
              <w:top w:val="nil"/>
              <w:left w:val="nil"/>
              <w:bottom w:val="single" w:sz="4" w:space="0" w:color="auto"/>
              <w:right w:val="single" w:sz="4" w:space="0" w:color="auto"/>
            </w:tcBorders>
            <w:shd w:val="clear" w:color="auto" w:fill="auto"/>
            <w:noWrap/>
            <w:vAlign w:val="center"/>
            <w:hideMark/>
          </w:tcPr>
          <w:p w14:paraId="6EAD39F1"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2</w:t>
            </w:r>
          </w:p>
        </w:tc>
        <w:tc>
          <w:tcPr>
            <w:tcW w:w="1015" w:type="dxa"/>
            <w:tcBorders>
              <w:top w:val="nil"/>
              <w:left w:val="nil"/>
              <w:bottom w:val="single" w:sz="4" w:space="0" w:color="auto"/>
              <w:right w:val="single" w:sz="4" w:space="0" w:color="auto"/>
            </w:tcBorders>
            <w:shd w:val="clear" w:color="auto" w:fill="auto"/>
            <w:noWrap/>
            <w:vAlign w:val="center"/>
            <w:hideMark/>
          </w:tcPr>
          <w:p w14:paraId="0694C9B1"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4</w:t>
            </w:r>
          </w:p>
        </w:tc>
        <w:tc>
          <w:tcPr>
            <w:tcW w:w="1015" w:type="dxa"/>
            <w:tcBorders>
              <w:top w:val="nil"/>
              <w:left w:val="nil"/>
              <w:bottom w:val="single" w:sz="4" w:space="0" w:color="auto"/>
              <w:right w:val="single" w:sz="4" w:space="0" w:color="auto"/>
            </w:tcBorders>
            <w:shd w:val="clear" w:color="auto" w:fill="auto"/>
            <w:noWrap/>
            <w:vAlign w:val="center"/>
            <w:hideMark/>
          </w:tcPr>
          <w:p w14:paraId="150A3796"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8</w:t>
            </w:r>
          </w:p>
        </w:tc>
        <w:tc>
          <w:tcPr>
            <w:tcW w:w="1015" w:type="dxa"/>
            <w:tcBorders>
              <w:top w:val="nil"/>
              <w:left w:val="nil"/>
              <w:bottom w:val="single" w:sz="4" w:space="0" w:color="auto"/>
              <w:right w:val="single" w:sz="4" w:space="0" w:color="auto"/>
            </w:tcBorders>
            <w:shd w:val="clear" w:color="auto" w:fill="auto"/>
            <w:noWrap/>
            <w:vAlign w:val="center"/>
            <w:hideMark/>
          </w:tcPr>
          <w:p w14:paraId="44033661"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16</w:t>
            </w:r>
          </w:p>
        </w:tc>
      </w:tr>
      <w:tr w:rsidR="00B519F6" w:rsidRPr="002E0CD4" w14:paraId="2DC57635" w14:textId="77777777" w:rsidTr="0033471F">
        <w:trPr>
          <w:trHeight w:val="20"/>
          <w:jc w:val="center"/>
        </w:trPr>
        <w:tc>
          <w:tcPr>
            <w:tcW w:w="2394" w:type="dxa"/>
            <w:tcBorders>
              <w:top w:val="nil"/>
              <w:left w:val="single" w:sz="4" w:space="0" w:color="auto"/>
              <w:bottom w:val="single" w:sz="4" w:space="0" w:color="auto"/>
              <w:right w:val="single" w:sz="4" w:space="0" w:color="auto"/>
            </w:tcBorders>
            <w:shd w:val="clear" w:color="auto" w:fill="auto"/>
            <w:vAlign w:val="center"/>
            <w:hideMark/>
          </w:tcPr>
          <w:p w14:paraId="15D2DA06"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Avg. element gain (per polarization)</w:t>
            </w:r>
          </w:p>
        </w:tc>
        <w:tc>
          <w:tcPr>
            <w:tcW w:w="960" w:type="dxa"/>
            <w:tcBorders>
              <w:top w:val="nil"/>
              <w:left w:val="nil"/>
              <w:bottom w:val="single" w:sz="4" w:space="0" w:color="auto"/>
              <w:right w:val="single" w:sz="4" w:space="0" w:color="auto"/>
            </w:tcBorders>
            <w:shd w:val="clear" w:color="auto" w:fill="auto"/>
            <w:vAlign w:val="center"/>
            <w:hideMark/>
          </w:tcPr>
          <w:p w14:paraId="5502DCBD"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dBi</w:t>
            </w:r>
          </w:p>
        </w:tc>
        <w:tc>
          <w:tcPr>
            <w:tcW w:w="1015" w:type="dxa"/>
            <w:tcBorders>
              <w:top w:val="nil"/>
              <w:left w:val="nil"/>
              <w:bottom w:val="single" w:sz="4" w:space="0" w:color="auto"/>
              <w:right w:val="single" w:sz="4" w:space="0" w:color="auto"/>
            </w:tcBorders>
            <w:shd w:val="clear" w:color="auto" w:fill="auto"/>
            <w:noWrap/>
            <w:vAlign w:val="center"/>
            <w:hideMark/>
          </w:tcPr>
          <w:p w14:paraId="69DB2037"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4</w:t>
            </w:r>
          </w:p>
        </w:tc>
        <w:tc>
          <w:tcPr>
            <w:tcW w:w="1015" w:type="dxa"/>
            <w:tcBorders>
              <w:top w:val="nil"/>
              <w:left w:val="nil"/>
              <w:bottom w:val="single" w:sz="4" w:space="0" w:color="auto"/>
              <w:right w:val="single" w:sz="4" w:space="0" w:color="auto"/>
            </w:tcBorders>
            <w:shd w:val="clear" w:color="auto" w:fill="auto"/>
            <w:noWrap/>
            <w:vAlign w:val="center"/>
            <w:hideMark/>
          </w:tcPr>
          <w:p w14:paraId="166FCADB"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4</w:t>
            </w:r>
          </w:p>
        </w:tc>
        <w:tc>
          <w:tcPr>
            <w:tcW w:w="1015" w:type="dxa"/>
            <w:tcBorders>
              <w:top w:val="nil"/>
              <w:left w:val="nil"/>
              <w:bottom w:val="single" w:sz="4" w:space="0" w:color="auto"/>
              <w:right w:val="single" w:sz="4" w:space="0" w:color="auto"/>
            </w:tcBorders>
            <w:shd w:val="clear" w:color="auto" w:fill="auto"/>
            <w:noWrap/>
            <w:vAlign w:val="center"/>
            <w:hideMark/>
          </w:tcPr>
          <w:p w14:paraId="59C5E41C"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4</w:t>
            </w:r>
          </w:p>
        </w:tc>
        <w:tc>
          <w:tcPr>
            <w:tcW w:w="1015" w:type="dxa"/>
            <w:tcBorders>
              <w:top w:val="nil"/>
              <w:left w:val="nil"/>
              <w:bottom w:val="single" w:sz="4" w:space="0" w:color="auto"/>
              <w:right w:val="single" w:sz="4" w:space="0" w:color="auto"/>
            </w:tcBorders>
            <w:shd w:val="clear" w:color="auto" w:fill="auto"/>
            <w:noWrap/>
            <w:vAlign w:val="center"/>
            <w:hideMark/>
          </w:tcPr>
          <w:p w14:paraId="17CCFAFD"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4</w:t>
            </w:r>
          </w:p>
        </w:tc>
      </w:tr>
      <w:tr w:rsidR="00B519F6" w:rsidRPr="002E0CD4" w14:paraId="43945588" w14:textId="77777777" w:rsidTr="0033471F">
        <w:trPr>
          <w:trHeight w:val="20"/>
          <w:jc w:val="center"/>
        </w:trPr>
        <w:tc>
          <w:tcPr>
            <w:tcW w:w="2394" w:type="dxa"/>
            <w:tcBorders>
              <w:top w:val="nil"/>
              <w:left w:val="single" w:sz="4" w:space="0" w:color="auto"/>
              <w:bottom w:val="single" w:sz="4" w:space="0" w:color="auto"/>
              <w:right w:val="single" w:sz="4" w:space="0" w:color="auto"/>
            </w:tcBorders>
            <w:shd w:val="clear" w:color="auto" w:fill="auto"/>
            <w:vAlign w:val="center"/>
            <w:hideMark/>
          </w:tcPr>
          <w:p w14:paraId="0B548EDF"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Antenna roll-off loss vs frequency</w:t>
            </w:r>
          </w:p>
        </w:tc>
        <w:tc>
          <w:tcPr>
            <w:tcW w:w="960" w:type="dxa"/>
            <w:tcBorders>
              <w:top w:val="nil"/>
              <w:left w:val="nil"/>
              <w:bottom w:val="single" w:sz="4" w:space="0" w:color="auto"/>
              <w:right w:val="single" w:sz="4" w:space="0" w:color="auto"/>
            </w:tcBorders>
            <w:shd w:val="clear" w:color="auto" w:fill="auto"/>
            <w:vAlign w:val="center"/>
            <w:hideMark/>
          </w:tcPr>
          <w:p w14:paraId="45F9BCA8"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dB</w:t>
            </w:r>
          </w:p>
        </w:tc>
        <w:tc>
          <w:tcPr>
            <w:tcW w:w="1015" w:type="dxa"/>
            <w:tcBorders>
              <w:top w:val="nil"/>
              <w:left w:val="nil"/>
              <w:bottom w:val="single" w:sz="4" w:space="0" w:color="auto"/>
              <w:right w:val="single" w:sz="4" w:space="0" w:color="auto"/>
            </w:tcBorders>
            <w:shd w:val="clear" w:color="auto" w:fill="auto"/>
            <w:noWrap/>
            <w:vAlign w:val="center"/>
            <w:hideMark/>
          </w:tcPr>
          <w:p w14:paraId="18C742FD"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-1</w:t>
            </w:r>
          </w:p>
        </w:tc>
        <w:tc>
          <w:tcPr>
            <w:tcW w:w="1015" w:type="dxa"/>
            <w:tcBorders>
              <w:top w:val="nil"/>
              <w:left w:val="nil"/>
              <w:bottom w:val="single" w:sz="4" w:space="0" w:color="auto"/>
              <w:right w:val="single" w:sz="4" w:space="0" w:color="auto"/>
            </w:tcBorders>
            <w:shd w:val="clear" w:color="auto" w:fill="auto"/>
            <w:noWrap/>
            <w:vAlign w:val="center"/>
            <w:hideMark/>
          </w:tcPr>
          <w:p w14:paraId="2F61A21A"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-1</w:t>
            </w:r>
          </w:p>
        </w:tc>
        <w:tc>
          <w:tcPr>
            <w:tcW w:w="1015" w:type="dxa"/>
            <w:tcBorders>
              <w:top w:val="nil"/>
              <w:left w:val="nil"/>
              <w:bottom w:val="single" w:sz="4" w:space="0" w:color="auto"/>
              <w:right w:val="single" w:sz="4" w:space="0" w:color="auto"/>
            </w:tcBorders>
            <w:shd w:val="clear" w:color="auto" w:fill="auto"/>
            <w:noWrap/>
            <w:vAlign w:val="center"/>
            <w:hideMark/>
          </w:tcPr>
          <w:p w14:paraId="4F949024"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-1</w:t>
            </w:r>
          </w:p>
        </w:tc>
        <w:tc>
          <w:tcPr>
            <w:tcW w:w="1015" w:type="dxa"/>
            <w:tcBorders>
              <w:top w:val="nil"/>
              <w:left w:val="nil"/>
              <w:bottom w:val="single" w:sz="4" w:space="0" w:color="auto"/>
              <w:right w:val="single" w:sz="4" w:space="0" w:color="auto"/>
            </w:tcBorders>
            <w:shd w:val="clear" w:color="auto" w:fill="auto"/>
            <w:noWrap/>
            <w:vAlign w:val="center"/>
            <w:hideMark/>
          </w:tcPr>
          <w:p w14:paraId="116AA6F9"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-1</w:t>
            </w:r>
          </w:p>
        </w:tc>
      </w:tr>
      <w:tr w:rsidR="00B519F6" w:rsidRPr="002E0CD4" w14:paraId="7BD41351" w14:textId="77777777" w:rsidTr="0033471F">
        <w:trPr>
          <w:trHeight w:val="20"/>
          <w:jc w:val="center"/>
        </w:trPr>
        <w:tc>
          <w:tcPr>
            <w:tcW w:w="2394" w:type="dxa"/>
            <w:tcBorders>
              <w:top w:val="nil"/>
              <w:left w:val="single" w:sz="4" w:space="0" w:color="auto"/>
              <w:bottom w:val="single" w:sz="4" w:space="0" w:color="auto"/>
              <w:right w:val="single" w:sz="4" w:space="0" w:color="auto"/>
            </w:tcBorders>
            <w:shd w:val="clear" w:color="auto" w:fill="auto"/>
            <w:vAlign w:val="center"/>
            <w:hideMark/>
          </w:tcPr>
          <w:p w14:paraId="2CA2094A"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Antenna efficiency</w:t>
            </w:r>
          </w:p>
        </w:tc>
        <w:tc>
          <w:tcPr>
            <w:tcW w:w="960" w:type="dxa"/>
            <w:tcBorders>
              <w:top w:val="nil"/>
              <w:left w:val="nil"/>
              <w:bottom w:val="single" w:sz="4" w:space="0" w:color="auto"/>
              <w:right w:val="single" w:sz="4" w:space="0" w:color="auto"/>
            </w:tcBorders>
            <w:shd w:val="clear" w:color="auto" w:fill="auto"/>
            <w:vAlign w:val="center"/>
            <w:hideMark/>
          </w:tcPr>
          <w:p w14:paraId="5F4B2F47"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dB</w:t>
            </w:r>
          </w:p>
        </w:tc>
        <w:tc>
          <w:tcPr>
            <w:tcW w:w="1015" w:type="dxa"/>
            <w:tcBorders>
              <w:top w:val="nil"/>
              <w:left w:val="nil"/>
              <w:bottom w:val="single" w:sz="4" w:space="0" w:color="auto"/>
              <w:right w:val="single" w:sz="4" w:space="0" w:color="auto"/>
            </w:tcBorders>
            <w:shd w:val="clear" w:color="auto" w:fill="auto"/>
            <w:noWrap/>
            <w:vAlign w:val="center"/>
            <w:hideMark/>
          </w:tcPr>
          <w:p w14:paraId="62619700"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-2</w:t>
            </w:r>
          </w:p>
        </w:tc>
        <w:tc>
          <w:tcPr>
            <w:tcW w:w="1015" w:type="dxa"/>
            <w:tcBorders>
              <w:top w:val="nil"/>
              <w:left w:val="nil"/>
              <w:bottom w:val="single" w:sz="4" w:space="0" w:color="auto"/>
              <w:right w:val="single" w:sz="4" w:space="0" w:color="auto"/>
            </w:tcBorders>
            <w:shd w:val="clear" w:color="auto" w:fill="auto"/>
            <w:noWrap/>
            <w:vAlign w:val="center"/>
            <w:hideMark/>
          </w:tcPr>
          <w:p w14:paraId="54EABD88"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-2</w:t>
            </w:r>
          </w:p>
        </w:tc>
        <w:tc>
          <w:tcPr>
            <w:tcW w:w="1015" w:type="dxa"/>
            <w:tcBorders>
              <w:top w:val="nil"/>
              <w:left w:val="nil"/>
              <w:bottom w:val="single" w:sz="4" w:space="0" w:color="auto"/>
              <w:right w:val="single" w:sz="4" w:space="0" w:color="auto"/>
            </w:tcBorders>
            <w:shd w:val="clear" w:color="auto" w:fill="auto"/>
            <w:noWrap/>
            <w:vAlign w:val="center"/>
            <w:hideMark/>
          </w:tcPr>
          <w:p w14:paraId="4C75DEC6"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-2</w:t>
            </w:r>
          </w:p>
        </w:tc>
        <w:tc>
          <w:tcPr>
            <w:tcW w:w="1015" w:type="dxa"/>
            <w:tcBorders>
              <w:top w:val="nil"/>
              <w:left w:val="nil"/>
              <w:bottom w:val="single" w:sz="4" w:space="0" w:color="auto"/>
              <w:right w:val="single" w:sz="4" w:space="0" w:color="auto"/>
            </w:tcBorders>
            <w:shd w:val="clear" w:color="auto" w:fill="auto"/>
            <w:noWrap/>
            <w:vAlign w:val="center"/>
            <w:hideMark/>
          </w:tcPr>
          <w:p w14:paraId="60F03FFF"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-2</w:t>
            </w:r>
          </w:p>
        </w:tc>
      </w:tr>
      <w:tr w:rsidR="00B519F6" w:rsidRPr="002E0CD4" w14:paraId="16E223A4" w14:textId="77777777" w:rsidTr="0033471F">
        <w:trPr>
          <w:trHeight w:val="20"/>
          <w:jc w:val="center"/>
        </w:trPr>
        <w:tc>
          <w:tcPr>
            <w:tcW w:w="2394" w:type="dxa"/>
            <w:tcBorders>
              <w:top w:val="nil"/>
              <w:left w:val="single" w:sz="4" w:space="0" w:color="auto"/>
              <w:bottom w:val="single" w:sz="4" w:space="0" w:color="auto"/>
              <w:right w:val="single" w:sz="4" w:space="0" w:color="auto"/>
            </w:tcBorders>
            <w:shd w:val="clear" w:color="auto" w:fill="auto"/>
            <w:vAlign w:val="center"/>
            <w:hideMark/>
          </w:tcPr>
          <w:p w14:paraId="11F60A08"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Realized antenna array gain per polarization</w:t>
            </w:r>
          </w:p>
        </w:tc>
        <w:tc>
          <w:tcPr>
            <w:tcW w:w="960" w:type="dxa"/>
            <w:tcBorders>
              <w:top w:val="nil"/>
              <w:left w:val="nil"/>
              <w:bottom w:val="single" w:sz="4" w:space="0" w:color="auto"/>
              <w:right w:val="single" w:sz="4" w:space="0" w:color="auto"/>
            </w:tcBorders>
            <w:shd w:val="clear" w:color="auto" w:fill="auto"/>
            <w:vAlign w:val="center"/>
            <w:hideMark/>
          </w:tcPr>
          <w:p w14:paraId="26EB9546"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dBi</w:t>
            </w:r>
          </w:p>
        </w:tc>
        <w:tc>
          <w:tcPr>
            <w:tcW w:w="1015" w:type="dxa"/>
            <w:tcBorders>
              <w:top w:val="nil"/>
              <w:left w:val="nil"/>
              <w:bottom w:val="single" w:sz="4" w:space="0" w:color="auto"/>
              <w:right w:val="single" w:sz="4" w:space="0" w:color="auto"/>
            </w:tcBorders>
            <w:shd w:val="clear" w:color="auto" w:fill="auto"/>
            <w:noWrap/>
            <w:vAlign w:val="center"/>
            <w:hideMark/>
          </w:tcPr>
          <w:p w14:paraId="36CA5308"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4.0</w:t>
            </w:r>
          </w:p>
        </w:tc>
        <w:tc>
          <w:tcPr>
            <w:tcW w:w="1015" w:type="dxa"/>
            <w:tcBorders>
              <w:top w:val="nil"/>
              <w:left w:val="nil"/>
              <w:bottom w:val="single" w:sz="4" w:space="0" w:color="auto"/>
              <w:right w:val="single" w:sz="4" w:space="0" w:color="auto"/>
            </w:tcBorders>
            <w:shd w:val="clear" w:color="auto" w:fill="auto"/>
            <w:noWrap/>
            <w:vAlign w:val="center"/>
            <w:hideMark/>
          </w:tcPr>
          <w:p w14:paraId="0AE02104"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7.0</w:t>
            </w:r>
          </w:p>
        </w:tc>
        <w:tc>
          <w:tcPr>
            <w:tcW w:w="1015" w:type="dxa"/>
            <w:tcBorders>
              <w:top w:val="nil"/>
              <w:left w:val="nil"/>
              <w:bottom w:val="single" w:sz="4" w:space="0" w:color="auto"/>
              <w:right w:val="single" w:sz="4" w:space="0" w:color="auto"/>
            </w:tcBorders>
            <w:shd w:val="clear" w:color="auto" w:fill="auto"/>
            <w:noWrap/>
            <w:vAlign w:val="center"/>
            <w:hideMark/>
          </w:tcPr>
          <w:p w14:paraId="535F5864"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10.0</w:t>
            </w:r>
          </w:p>
        </w:tc>
        <w:tc>
          <w:tcPr>
            <w:tcW w:w="1015" w:type="dxa"/>
            <w:tcBorders>
              <w:top w:val="nil"/>
              <w:left w:val="nil"/>
              <w:bottom w:val="single" w:sz="4" w:space="0" w:color="auto"/>
              <w:right w:val="single" w:sz="4" w:space="0" w:color="auto"/>
            </w:tcBorders>
            <w:shd w:val="clear" w:color="auto" w:fill="auto"/>
            <w:noWrap/>
            <w:vAlign w:val="center"/>
            <w:hideMark/>
          </w:tcPr>
          <w:p w14:paraId="0BCEC82D"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13.0</w:t>
            </w:r>
          </w:p>
        </w:tc>
      </w:tr>
      <w:tr w:rsidR="00B519F6" w:rsidRPr="002E0CD4" w14:paraId="1DF9E5A5" w14:textId="77777777" w:rsidTr="0033471F">
        <w:trPr>
          <w:trHeight w:val="20"/>
          <w:jc w:val="center"/>
        </w:trPr>
        <w:tc>
          <w:tcPr>
            <w:tcW w:w="2394" w:type="dxa"/>
            <w:tcBorders>
              <w:top w:val="nil"/>
              <w:left w:val="single" w:sz="4" w:space="0" w:color="auto"/>
              <w:bottom w:val="single" w:sz="4" w:space="0" w:color="auto"/>
              <w:right w:val="single" w:sz="4" w:space="0" w:color="auto"/>
            </w:tcBorders>
            <w:shd w:val="clear" w:color="auto" w:fill="auto"/>
            <w:vAlign w:val="center"/>
            <w:hideMark/>
          </w:tcPr>
          <w:p w14:paraId="7C7E1461"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Polarization gain</w:t>
            </w:r>
          </w:p>
        </w:tc>
        <w:tc>
          <w:tcPr>
            <w:tcW w:w="960" w:type="dxa"/>
            <w:tcBorders>
              <w:top w:val="nil"/>
              <w:left w:val="nil"/>
              <w:bottom w:val="single" w:sz="4" w:space="0" w:color="auto"/>
              <w:right w:val="single" w:sz="4" w:space="0" w:color="auto"/>
            </w:tcBorders>
            <w:shd w:val="clear" w:color="auto" w:fill="auto"/>
            <w:vAlign w:val="center"/>
            <w:hideMark/>
          </w:tcPr>
          <w:p w14:paraId="0BE0CA39"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dB</w:t>
            </w:r>
          </w:p>
        </w:tc>
        <w:tc>
          <w:tcPr>
            <w:tcW w:w="1015" w:type="dxa"/>
            <w:tcBorders>
              <w:top w:val="nil"/>
              <w:left w:val="nil"/>
              <w:bottom w:val="single" w:sz="4" w:space="0" w:color="auto"/>
              <w:right w:val="single" w:sz="4" w:space="0" w:color="auto"/>
            </w:tcBorders>
            <w:shd w:val="clear" w:color="auto" w:fill="auto"/>
            <w:noWrap/>
            <w:vAlign w:val="center"/>
            <w:hideMark/>
          </w:tcPr>
          <w:p w14:paraId="49BA9F49"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2.8</w:t>
            </w:r>
          </w:p>
        </w:tc>
        <w:tc>
          <w:tcPr>
            <w:tcW w:w="1015" w:type="dxa"/>
            <w:tcBorders>
              <w:top w:val="nil"/>
              <w:left w:val="nil"/>
              <w:bottom w:val="single" w:sz="4" w:space="0" w:color="auto"/>
              <w:right w:val="single" w:sz="4" w:space="0" w:color="auto"/>
            </w:tcBorders>
            <w:shd w:val="clear" w:color="auto" w:fill="auto"/>
            <w:noWrap/>
            <w:vAlign w:val="center"/>
            <w:hideMark/>
          </w:tcPr>
          <w:p w14:paraId="177D7E4D"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2.8</w:t>
            </w:r>
          </w:p>
        </w:tc>
        <w:tc>
          <w:tcPr>
            <w:tcW w:w="1015" w:type="dxa"/>
            <w:tcBorders>
              <w:top w:val="nil"/>
              <w:left w:val="nil"/>
              <w:bottom w:val="single" w:sz="4" w:space="0" w:color="auto"/>
              <w:right w:val="single" w:sz="4" w:space="0" w:color="auto"/>
            </w:tcBorders>
            <w:shd w:val="clear" w:color="auto" w:fill="auto"/>
            <w:noWrap/>
            <w:vAlign w:val="center"/>
            <w:hideMark/>
          </w:tcPr>
          <w:p w14:paraId="44630E17"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2.8</w:t>
            </w:r>
          </w:p>
        </w:tc>
        <w:tc>
          <w:tcPr>
            <w:tcW w:w="1015" w:type="dxa"/>
            <w:tcBorders>
              <w:top w:val="nil"/>
              <w:left w:val="nil"/>
              <w:bottom w:val="single" w:sz="4" w:space="0" w:color="auto"/>
              <w:right w:val="single" w:sz="4" w:space="0" w:color="auto"/>
            </w:tcBorders>
            <w:shd w:val="clear" w:color="auto" w:fill="auto"/>
            <w:noWrap/>
            <w:vAlign w:val="center"/>
            <w:hideMark/>
          </w:tcPr>
          <w:p w14:paraId="27205216"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2.8</w:t>
            </w:r>
          </w:p>
        </w:tc>
      </w:tr>
      <w:tr w:rsidR="00B519F6" w:rsidRPr="002E0CD4" w14:paraId="179FC2CE" w14:textId="77777777" w:rsidTr="0033471F">
        <w:trPr>
          <w:trHeight w:val="20"/>
          <w:jc w:val="center"/>
        </w:trPr>
        <w:tc>
          <w:tcPr>
            <w:tcW w:w="2394" w:type="dxa"/>
            <w:tcBorders>
              <w:top w:val="nil"/>
              <w:left w:val="single" w:sz="4" w:space="0" w:color="auto"/>
              <w:bottom w:val="single" w:sz="4" w:space="0" w:color="auto"/>
              <w:right w:val="single" w:sz="4" w:space="0" w:color="auto"/>
            </w:tcBorders>
            <w:shd w:val="clear" w:color="auto" w:fill="auto"/>
            <w:vAlign w:val="center"/>
            <w:hideMark/>
          </w:tcPr>
          <w:p w14:paraId="16EBA1A4"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P1d</w:t>
            </w:r>
            <w:r>
              <w:rPr>
                <w:rFonts w:ascii="Arial" w:hAnsi="Arial" w:cs="Arial"/>
                <w:color w:val="000000"/>
                <w:sz w:val="18"/>
                <w:szCs w:val="18"/>
                <w:lang w:eastAsia="fi-FI"/>
              </w:rPr>
              <w:t>B</w:t>
            </w:r>
            <w:r w:rsidRPr="002E0CD4">
              <w:rPr>
                <w:rFonts w:ascii="Arial" w:hAnsi="Arial" w:cs="Arial"/>
                <w:color w:val="000000"/>
                <w:sz w:val="18"/>
                <w:szCs w:val="18"/>
                <w:lang w:eastAsia="fi-FI"/>
              </w:rPr>
              <w:t xml:space="preserve"> per PA</w:t>
            </w:r>
          </w:p>
        </w:tc>
        <w:tc>
          <w:tcPr>
            <w:tcW w:w="960" w:type="dxa"/>
            <w:tcBorders>
              <w:top w:val="nil"/>
              <w:left w:val="nil"/>
              <w:bottom w:val="single" w:sz="4" w:space="0" w:color="auto"/>
              <w:right w:val="single" w:sz="4" w:space="0" w:color="auto"/>
            </w:tcBorders>
            <w:shd w:val="clear" w:color="auto" w:fill="auto"/>
            <w:vAlign w:val="center"/>
            <w:hideMark/>
          </w:tcPr>
          <w:p w14:paraId="68A4DAFB"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dBm</w:t>
            </w:r>
          </w:p>
        </w:tc>
        <w:tc>
          <w:tcPr>
            <w:tcW w:w="1015" w:type="dxa"/>
            <w:tcBorders>
              <w:top w:val="nil"/>
              <w:left w:val="nil"/>
              <w:bottom w:val="single" w:sz="4" w:space="0" w:color="auto"/>
              <w:right w:val="single" w:sz="4" w:space="0" w:color="auto"/>
            </w:tcBorders>
            <w:shd w:val="clear" w:color="auto" w:fill="auto"/>
            <w:noWrap/>
            <w:vAlign w:val="center"/>
            <w:hideMark/>
          </w:tcPr>
          <w:p w14:paraId="1771B730"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14</w:t>
            </w:r>
          </w:p>
        </w:tc>
        <w:tc>
          <w:tcPr>
            <w:tcW w:w="1015" w:type="dxa"/>
            <w:tcBorders>
              <w:top w:val="nil"/>
              <w:left w:val="nil"/>
              <w:bottom w:val="single" w:sz="4" w:space="0" w:color="auto"/>
              <w:right w:val="single" w:sz="4" w:space="0" w:color="auto"/>
            </w:tcBorders>
            <w:shd w:val="clear" w:color="auto" w:fill="auto"/>
            <w:noWrap/>
            <w:vAlign w:val="center"/>
            <w:hideMark/>
          </w:tcPr>
          <w:p w14:paraId="008D646A"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14</w:t>
            </w:r>
          </w:p>
        </w:tc>
        <w:tc>
          <w:tcPr>
            <w:tcW w:w="1015" w:type="dxa"/>
            <w:tcBorders>
              <w:top w:val="nil"/>
              <w:left w:val="nil"/>
              <w:bottom w:val="single" w:sz="4" w:space="0" w:color="auto"/>
              <w:right w:val="single" w:sz="4" w:space="0" w:color="auto"/>
            </w:tcBorders>
            <w:shd w:val="clear" w:color="auto" w:fill="auto"/>
            <w:noWrap/>
            <w:vAlign w:val="center"/>
            <w:hideMark/>
          </w:tcPr>
          <w:p w14:paraId="4B51DDEB"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14</w:t>
            </w:r>
          </w:p>
        </w:tc>
        <w:tc>
          <w:tcPr>
            <w:tcW w:w="1015" w:type="dxa"/>
            <w:tcBorders>
              <w:top w:val="nil"/>
              <w:left w:val="nil"/>
              <w:bottom w:val="single" w:sz="4" w:space="0" w:color="auto"/>
              <w:right w:val="single" w:sz="4" w:space="0" w:color="auto"/>
            </w:tcBorders>
            <w:shd w:val="clear" w:color="auto" w:fill="auto"/>
            <w:noWrap/>
            <w:vAlign w:val="center"/>
            <w:hideMark/>
          </w:tcPr>
          <w:p w14:paraId="1EBB6F0B"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14</w:t>
            </w:r>
          </w:p>
        </w:tc>
      </w:tr>
      <w:tr w:rsidR="00B519F6" w:rsidRPr="002E0CD4" w14:paraId="0E020C6C" w14:textId="77777777" w:rsidTr="0033471F">
        <w:trPr>
          <w:trHeight w:val="20"/>
          <w:jc w:val="center"/>
        </w:trPr>
        <w:tc>
          <w:tcPr>
            <w:tcW w:w="2394" w:type="dxa"/>
            <w:tcBorders>
              <w:top w:val="nil"/>
              <w:left w:val="single" w:sz="4" w:space="0" w:color="auto"/>
              <w:bottom w:val="single" w:sz="4" w:space="0" w:color="auto"/>
              <w:right w:val="single" w:sz="4" w:space="0" w:color="auto"/>
            </w:tcBorders>
            <w:shd w:val="clear" w:color="auto" w:fill="auto"/>
            <w:vAlign w:val="center"/>
            <w:hideMark/>
          </w:tcPr>
          <w:p w14:paraId="67010916"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back-off from P1dB</w:t>
            </w:r>
          </w:p>
        </w:tc>
        <w:tc>
          <w:tcPr>
            <w:tcW w:w="960" w:type="dxa"/>
            <w:tcBorders>
              <w:top w:val="nil"/>
              <w:left w:val="nil"/>
              <w:bottom w:val="single" w:sz="4" w:space="0" w:color="auto"/>
              <w:right w:val="single" w:sz="4" w:space="0" w:color="auto"/>
            </w:tcBorders>
            <w:shd w:val="clear" w:color="auto" w:fill="auto"/>
            <w:vAlign w:val="center"/>
            <w:hideMark/>
          </w:tcPr>
          <w:p w14:paraId="2DC6904C"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dB</w:t>
            </w:r>
          </w:p>
        </w:tc>
        <w:tc>
          <w:tcPr>
            <w:tcW w:w="1015" w:type="dxa"/>
            <w:tcBorders>
              <w:top w:val="nil"/>
              <w:left w:val="nil"/>
              <w:bottom w:val="single" w:sz="4" w:space="0" w:color="auto"/>
              <w:right w:val="single" w:sz="4" w:space="0" w:color="auto"/>
            </w:tcBorders>
            <w:shd w:val="clear" w:color="auto" w:fill="auto"/>
            <w:noWrap/>
            <w:vAlign w:val="center"/>
            <w:hideMark/>
          </w:tcPr>
          <w:p w14:paraId="359A7E64"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6</w:t>
            </w:r>
          </w:p>
        </w:tc>
        <w:tc>
          <w:tcPr>
            <w:tcW w:w="1015" w:type="dxa"/>
            <w:tcBorders>
              <w:top w:val="nil"/>
              <w:left w:val="nil"/>
              <w:bottom w:val="single" w:sz="4" w:space="0" w:color="auto"/>
              <w:right w:val="single" w:sz="4" w:space="0" w:color="auto"/>
            </w:tcBorders>
            <w:shd w:val="clear" w:color="auto" w:fill="auto"/>
            <w:noWrap/>
            <w:vAlign w:val="center"/>
            <w:hideMark/>
          </w:tcPr>
          <w:p w14:paraId="02EF8073"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6</w:t>
            </w:r>
          </w:p>
        </w:tc>
        <w:tc>
          <w:tcPr>
            <w:tcW w:w="1015" w:type="dxa"/>
            <w:tcBorders>
              <w:top w:val="nil"/>
              <w:left w:val="nil"/>
              <w:bottom w:val="single" w:sz="4" w:space="0" w:color="auto"/>
              <w:right w:val="single" w:sz="4" w:space="0" w:color="auto"/>
            </w:tcBorders>
            <w:shd w:val="clear" w:color="auto" w:fill="auto"/>
            <w:noWrap/>
            <w:vAlign w:val="center"/>
            <w:hideMark/>
          </w:tcPr>
          <w:p w14:paraId="391F5F25"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6</w:t>
            </w:r>
          </w:p>
        </w:tc>
        <w:tc>
          <w:tcPr>
            <w:tcW w:w="1015" w:type="dxa"/>
            <w:tcBorders>
              <w:top w:val="nil"/>
              <w:left w:val="nil"/>
              <w:bottom w:val="single" w:sz="4" w:space="0" w:color="auto"/>
              <w:right w:val="single" w:sz="4" w:space="0" w:color="auto"/>
            </w:tcBorders>
            <w:shd w:val="clear" w:color="auto" w:fill="auto"/>
            <w:noWrap/>
            <w:vAlign w:val="center"/>
            <w:hideMark/>
          </w:tcPr>
          <w:p w14:paraId="0391DE19" w14:textId="77777777" w:rsidR="00B519F6" w:rsidRPr="002E0CD4" w:rsidRDefault="00B519F6" w:rsidP="004C5B4E">
            <w:pPr>
              <w:spacing w:after="0"/>
              <w:jc w:val="center"/>
              <w:rPr>
                <w:rFonts w:ascii="Arial" w:hAnsi="Arial" w:cs="Arial"/>
                <w:color w:val="000000"/>
                <w:sz w:val="18"/>
                <w:szCs w:val="18"/>
                <w:lang w:eastAsia="fi-FI"/>
              </w:rPr>
            </w:pPr>
            <w:r w:rsidRPr="002E0CD4">
              <w:rPr>
                <w:rFonts w:ascii="Arial" w:hAnsi="Arial" w:cs="Arial"/>
                <w:color w:val="000000"/>
                <w:sz w:val="18"/>
                <w:szCs w:val="18"/>
                <w:lang w:eastAsia="fi-FI"/>
              </w:rPr>
              <w:t>6</w:t>
            </w:r>
          </w:p>
        </w:tc>
      </w:tr>
      <w:tr w:rsidR="00B519F6" w:rsidRPr="002E0CD4" w14:paraId="5AE89BE8" w14:textId="77777777" w:rsidTr="0033471F">
        <w:trPr>
          <w:trHeight w:val="20"/>
          <w:jc w:val="center"/>
        </w:trPr>
        <w:tc>
          <w:tcPr>
            <w:tcW w:w="2394" w:type="dxa"/>
            <w:tcBorders>
              <w:top w:val="nil"/>
              <w:left w:val="single" w:sz="4" w:space="0" w:color="auto"/>
              <w:bottom w:val="single" w:sz="4" w:space="0" w:color="auto"/>
              <w:right w:val="single" w:sz="4" w:space="0" w:color="auto"/>
            </w:tcBorders>
            <w:shd w:val="clear" w:color="auto" w:fill="auto"/>
            <w:vAlign w:val="center"/>
            <w:hideMark/>
          </w:tcPr>
          <w:p w14:paraId="7FA34C91" w14:textId="77777777" w:rsidR="00B519F6" w:rsidRPr="002E0CD4" w:rsidRDefault="00B519F6" w:rsidP="004C5B4E">
            <w:pPr>
              <w:spacing w:after="0"/>
              <w:jc w:val="center"/>
              <w:rPr>
                <w:rFonts w:ascii="Arial" w:hAnsi="Arial" w:cs="Arial"/>
                <w:b/>
                <w:bCs/>
                <w:color w:val="000000"/>
                <w:sz w:val="18"/>
                <w:szCs w:val="18"/>
                <w:lang w:eastAsia="fi-FI"/>
              </w:rPr>
            </w:pPr>
            <w:r w:rsidRPr="002E0CD4">
              <w:rPr>
                <w:rFonts w:ascii="Arial" w:hAnsi="Arial" w:cs="Arial"/>
                <w:b/>
                <w:bCs/>
                <w:color w:val="000000"/>
                <w:sz w:val="18"/>
                <w:szCs w:val="18"/>
                <w:lang w:eastAsia="fi-FI"/>
              </w:rPr>
              <w:t>TRP</w:t>
            </w:r>
          </w:p>
        </w:tc>
        <w:tc>
          <w:tcPr>
            <w:tcW w:w="960" w:type="dxa"/>
            <w:tcBorders>
              <w:top w:val="nil"/>
              <w:left w:val="nil"/>
              <w:bottom w:val="single" w:sz="4" w:space="0" w:color="auto"/>
              <w:right w:val="single" w:sz="4" w:space="0" w:color="auto"/>
            </w:tcBorders>
            <w:shd w:val="clear" w:color="auto" w:fill="auto"/>
            <w:vAlign w:val="center"/>
            <w:hideMark/>
          </w:tcPr>
          <w:p w14:paraId="36BD65DD" w14:textId="77777777" w:rsidR="00B519F6" w:rsidRPr="002E0CD4" w:rsidRDefault="00B519F6" w:rsidP="004C5B4E">
            <w:pPr>
              <w:spacing w:after="0"/>
              <w:jc w:val="center"/>
              <w:rPr>
                <w:rFonts w:ascii="Arial" w:hAnsi="Arial" w:cs="Arial"/>
                <w:b/>
                <w:bCs/>
                <w:color w:val="000000"/>
                <w:sz w:val="18"/>
                <w:szCs w:val="18"/>
                <w:lang w:eastAsia="fi-FI"/>
              </w:rPr>
            </w:pPr>
            <w:r w:rsidRPr="002E0CD4">
              <w:rPr>
                <w:rFonts w:ascii="Arial" w:hAnsi="Arial" w:cs="Arial"/>
                <w:b/>
                <w:bCs/>
                <w:color w:val="000000"/>
                <w:sz w:val="18"/>
                <w:szCs w:val="18"/>
                <w:lang w:eastAsia="fi-FI"/>
              </w:rPr>
              <w:t>dBm (rms)</w:t>
            </w:r>
          </w:p>
        </w:tc>
        <w:tc>
          <w:tcPr>
            <w:tcW w:w="1015" w:type="dxa"/>
            <w:tcBorders>
              <w:top w:val="nil"/>
              <w:left w:val="nil"/>
              <w:bottom w:val="single" w:sz="4" w:space="0" w:color="auto"/>
              <w:right w:val="single" w:sz="4" w:space="0" w:color="auto"/>
            </w:tcBorders>
            <w:shd w:val="clear" w:color="auto" w:fill="auto"/>
            <w:noWrap/>
            <w:vAlign w:val="center"/>
            <w:hideMark/>
          </w:tcPr>
          <w:p w14:paraId="1AF9AD9F" w14:textId="77777777" w:rsidR="00B519F6" w:rsidRPr="002E0CD4" w:rsidRDefault="00B519F6" w:rsidP="004C5B4E">
            <w:pPr>
              <w:spacing w:after="0"/>
              <w:jc w:val="center"/>
              <w:rPr>
                <w:rFonts w:ascii="Arial" w:hAnsi="Arial" w:cs="Arial"/>
                <w:b/>
                <w:bCs/>
                <w:color w:val="000000"/>
                <w:sz w:val="18"/>
                <w:szCs w:val="18"/>
                <w:lang w:eastAsia="fi-FI"/>
              </w:rPr>
            </w:pPr>
            <w:r w:rsidRPr="002E0CD4">
              <w:rPr>
                <w:rFonts w:ascii="Arial" w:hAnsi="Arial" w:cs="Arial"/>
                <w:b/>
                <w:bCs/>
                <w:color w:val="000000"/>
                <w:sz w:val="18"/>
                <w:szCs w:val="18"/>
                <w:lang w:eastAsia="fi-FI"/>
              </w:rPr>
              <w:t>11.0</w:t>
            </w:r>
          </w:p>
        </w:tc>
        <w:tc>
          <w:tcPr>
            <w:tcW w:w="1015" w:type="dxa"/>
            <w:tcBorders>
              <w:top w:val="nil"/>
              <w:left w:val="nil"/>
              <w:bottom w:val="single" w:sz="4" w:space="0" w:color="auto"/>
              <w:right w:val="single" w:sz="4" w:space="0" w:color="auto"/>
            </w:tcBorders>
            <w:shd w:val="clear" w:color="auto" w:fill="auto"/>
            <w:noWrap/>
            <w:vAlign w:val="center"/>
            <w:hideMark/>
          </w:tcPr>
          <w:p w14:paraId="77867A89" w14:textId="77777777" w:rsidR="00B519F6" w:rsidRPr="002E0CD4" w:rsidRDefault="00B519F6" w:rsidP="004C5B4E">
            <w:pPr>
              <w:spacing w:after="0"/>
              <w:jc w:val="center"/>
              <w:rPr>
                <w:rFonts w:ascii="Arial" w:hAnsi="Arial" w:cs="Arial"/>
                <w:b/>
                <w:bCs/>
                <w:color w:val="000000"/>
                <w:sz w:val="18"/>
                <w:szCs w:val="18"/>
                <w:lang w:eastAsia="fi-FI"/>
              </w:rPr>
            </w:pPr>
            <w:r w:rsidRPr="002E0CD4">
              <w:rPr>
                <w:rFonts w:ascii="Arial" w:hAnsi="Arial" w:cs="Arial"/>
                <w:b/>
                <w:bCs/>
                <w:color w:val="000000"/>
                <w:sz w:val="18"/>
                <w:szCs w:val="18"/>
                <w:lang w:eastAsia="fi-FI"/>
              </w:rPr>
              <w:t>14.0</w:t>
            </w:r>
          </w:p>
        </w:tc>
        <w:tc>
          <w:tcPr>
            <w:tcW w:w="1015" w:type="dxa"/>
            <w:tcBorders>
              <w:top w:val="nil"/>
              <w:left w:val="nil"/>
              <w:bottom w:val="single" w:sz="4" w:space="0" w:color="auto"/>
              <w:right w:val="single" w:sz="4" w:space="0" w:color="auto"/>
            </w:tcBorders>
            <w:shd w:val="clear" w:color="auto" w:fill="auto"/>
            <w:noWrap/>
            <w:vAlign w:val="center"/>
            <w:hideMark/>
          </w:tcPr>
          <w:p w14:paraId="7D17C86F" w14:textId="77777777" w:rsidR="00B519F6" w:rsidRPr="002E0CD4" w:rsidRDefault="00B519F6" w:rsidP="004C5B4E">
            <w:pPr>
              <w:spacing w:after="0"/>
              <w:jc w:val="center"/>
              <w:rPr>
                <w:rFonts w:ascii="Arial" w:hAnsi="Arial" w:cs="Arial"/>
                <w:b/>
                <w:bCs/>
                <w:color w:val="000000"/>
                <w:sz w:val="18"/>
                <w:szCs w:val="18"/>
                <w:lang w:eastAsia="fi-FI"/>
              </w:rPr>
            </w:pPr>
            <w:r w:rsidRPr="002E0CD4">
              <w:rPr>
                <w:rFonts w:ascii="Arial" w:hAnsi="Arial" w:cs="Arial"/>
                <w:b/>
                <w:bCs/>
                <w:color w:val="000000"/>
                <w:sz w:val="18"/>
                <w:szCs w:val="18"/>
                <w:lang w:eastAsia="fi-FI"/>
              </w:rPr>
              <w:t>17.0</w:t>
            </w:r>
          </w:p>
        </w:tc>
        <w:tc>
          <w:tcPr>
            <w:tcW w:w="1015" w:type="dxa"/>
            <w:tcBorders>
              <w:top w:val="nil"/>
              <w:left w:val="nil"/>
              <w:bottom w:val="single" w:sz="4" w:space="0" w:color="auto"/>
              <w:right w:val="single" w:sz="4" w:space="0" w:color="auto"/>
            </w:tcBorders>
            <w:shd w:val="clear" w:color="auto" w:fill="auto"/>
            <w:noWrap/>
            <w:vAlign w:val="center"/>
            <w:hideMark/>
          </w:tcPr>
          <w:p w14:paraId="14715578" w14:textId="77777777" w:rsidR="00B519F6" w:rsidRPr="002E0CD4" w:rsidRDefault="00B519F6" w:rsidP="004C5B4E">
            <w:pPr>
              <w:spacing w:after="0"/>
              <w:jc w:val="center"/>
              <w:rPr>
                <w:rFonts w:ascii="Arial" w:hAnsi="Arial" w:cs="Arial"/>
                <w:b/>
                <w:bCs/>
                <w:color w:val="000000"/>
                <w:sz w:val="18"/>
                <w:szCs w:val="18"/>
                <w:lang w:eastAsia="fi-FI"/>
              </w:rPr>
            </w:pPr>
            <w:r w:rsidRPr="002E0CD4">
              <w:rPr>
                <w:rFonts w:ascii="Arial" w:hAnsi="Arial" w:cs="Arial"/>
                <w:b/>
                <w:bCs/>
                <w:color w:val="000000"/>
                <w:sz w:val="18"/>
                <w:szCs w:val="18"/>
                <w:lang w:eastAsia="fi-FI"/>
              </w:rPr>
              <w:t>20.1</w:t>
            </w:r>
          </w:p>
        </w:tc>
      </w:tr>
      <w:tr w:rsidR="00B519F6" w:rsidRPr="002E0CD4" w14:paraId="406CB0A0" w14:textId="77777777" w:rsidTr="0033471F">
        <w:trPr>
          <w:trHeight w:val="20"/>
          <w:jc w:val="center"/>
        </w:trPr>
        <w:tc>
          <w:tcPr>
            <w:tcW w:w="2394" w:type="dxa"/>
            <w:tcBorders>
              <w:top w:val="nil"/>
              <w:left w:val="single" w:sz="4" w:space="0" w:color="auto"/>
              <w:bottom w:val="single" w:sz="4" w:space="0" w:color="auto"/>
              <w:right w:val="single" w:sz="4" w:space="0" w:color="auto"/>
            </w:tcBorders>
            <w:shd w:val="clear" w:color="auto" w:fill="auto"/>
            <w:vAlign w:val="center"/>
            <w:hideMark/>
          </w:tcPr>
          <w:p w14:paraId="28B1FFC7" w14:textId="77777777" w:rsidR="00B519F6" w:rsidRPr="002E0CD4" w:rsidRDefault="00B519F6" w:rsidP="004C5B4E">
            <w:pPr>
              <w:spacing w:after="0"/>
              <w:jc w:val="center"/>
              <w:rPr>
                <w:rFonts w:ascii="Arial" w:hAnsi="Arial" w:cs="Arial"/>
                <w:b/>
                <w:bCs/>
                <w:color w:val="000000"/>
                <w:sz w:val="18"/>
                <w:szCs w:val="18"/>
                <w:lang w:eastAsia="fi-FI"/>
              </w:rPr>
            </w:pPr>
            <w:r w:rsidRPr="002E0CD4">
              <w:rPr>
                <w:rFonts w:ascii="Arial" w:hAnsi="Arial" w:cs="Arial"/>
                <w:b/>
                <w:bCs/>
                <w:color w:val="000000"/>
                <w:sz w:val="18"/>
                <w:szCs w:val="18"/>
                <w:lang w:eastAsia="fi-FI"/>
              </w:rPr>
              <w:t>EIRP</w:t>
            </w:r>
          </w:p>
        </w:tc>
        <w:tc>
          <w:tcPr>
            <w:tcW w:w="960" w:type="dxa"/>
            <w:tcBorders>
              <w:top w:val="nil"/>
              <w:left w:val="nil"/>
              <w:bottom w:val="single" w:sz="4" w:space="0" w:color="auto"/>
              <w:right w:val="single" w:sz="4" w:space="0" w:color="auto"/>
            </w:tcBorders>
            <w:shd w:val="clear" w:color="auto" w:fill="auto"/>
            <w:vAlign w:val="center"/>
            <w:hideMark/>
          </w:tcPr>
          <w:p w14:paraId="4FAE4FBB" w14:textId="77777777" w:rsidR="00B519F6" w:rsidRPr="002E0CD4" w:rsidRDefault="00B519F6" w:rsidP="004C5B4E">
            <w:pPr>
              <w:spacing w:after="0"/>
              <w:jc w:val="center"/>
              <w:rPr>
                <w:rFonts w:ascii="Arial" w:hAnsi="Arial" w:cs="Arial"/>
                <w:b/>
                <w:bCs/>
                <w:color w:val="000000"/>
                <w:sz w:val="18"/>
                <w:szCs w:val="18"/>
                <w:lang w:eastAsia="fi-FI"/>
              </w:rPr>
            </w:pPr>
            <w:r w:rsidRPr="002E0CD4">
              <w:rPr>
                <w:rFonts w:ascii="Arial" w:hAnsi="Arial" w:cs="Arial"/>
                <w:b/>
                <w:bCs/>
                <w:color w:val="000000"/>
                <w:sz w:val="18"/>
                <w:szCs w:val="18"/>
                <w:lang w:eastAsia="fi-FI"/>
              </w:rPr>
              <w:t>dBm (rms)</w:t>
            </w:r>
          </w:p>
        </w:tc>
        <w:tc>
          <w:tcPr>
            <w:tcW w:w="1015" w:type="dxa"/>
            <w:tcBorders>
              <w:top w:val="nil"/>
              <w:left w:val="nil"/>
              <w:bottom w:val="single" w:sz="4" w:space="0" w:color="auto"/>
              <w:right w:val="single" w:sz="4" w:space="0" w:color="auto"/>
            </w:tcBorders>
            <w:shd w:val="clear" w:color="auto" w:fill="auto"/>
            <w:noWrap/>
            <w:vAlign w:val="center"/>
            <w:hideMark/>
          </w:tcPr>
          <w:p w14:paraId="6D359BFD" w14:textId="77777777" w:rsidR="00B519F6" w:rsidRPr="002E0CD4" w:rsidRDefault="00B519F6" w:rsidP="004C5B4E">
            <w:pPr>
              <w:spacing w:after="0"/>
              <w:jc w:val="center"/>
              <w:rPr>
                <w:rFonts w:ascii="Arial" w:hAnsi="Arial" w:cs="Arial"/>
                <w:b/>
                <w:bCs/>
                <w:color w:val="000000"/>
                <w:sz w:val="18"/>
                <w:szCs w:val="18"/>
                <w:lang w:eastAsia="fi-FI"/>
              </w:rPr>
            </w:pPr>
            <w:r w:rsidRPr="002E0CD4">
              <w:rPr>
                <w:rFonts w:ascii="Arial" w:hAnsi="Arial" w:cs="Arial"/>
                <w:b/>
                <w:bCs/>
                <w:color w:val="000000"/>
                <w:sz w:val="18"/>
                <w:szCs w:val="18"/>
                <w:lang w:eastAsia="fi-FI"/>
              </w:rPr>
              <w:t>14.8</w:t>
            </w:r>
          </w:p>
        </w:tc>
        <w:tc>
          <w:tcPr>
            <w:tcW w:w="1015" w:type="dxa"/>
            <w:tcBorders>
              <w:top w:val="nil"/>
              <w:left w:val="nil"/>
              <w:bottom w:val="single" w:sz="4" w:space="0" w:color="auto"/>
              <w:right w:val="single" w:sz="4" w:space="0" w:color="auto"/>
            </w:tcBorders>
            <w:shd w:val="clear" w:color="auto" w:fill="auto"/>
            <w:noWrap/>
            <w:vAlign w:val="center"/>
            <w:hideMark/>
          </w:tcPr>
          <w:p w14:paraId="3CAE17B2" w14:textId="77777777" w:rsidR="00B519F6" w:rsidRPr="002E0CD4" w:rsidRDefault="00B519F6" w:rsidP="004C5B4E">
            <w:pPr>
              <w:spacing w:after="0"/>
              <w:jc w:val="center"/>
              <w:rPr>
                <w:rFonts w:ascii="Arial" w:hAnsi="Arial" w:cs="Arial"/>
                <w:b/>
                <w:bCs/>
                <w:color w:val="000000"/>
                <w:sz w:val="18"/>
                <w:szCs w:val="18"/>
                <w:lang w:eastAsia="fi-FI"/>
              </w:rPr>
            </w:pPr>
            <w:r w:rsidRPr="002E0CD4">
              <w:rPr>
                <w:rFonts w:ascii="Arial" w:hAnsi="Arial" w:cs="Arial"/>
                <w:b/>
                <w:bCs/>
                <w:color w:val="000000"/>
                <w:sz w:val="18"/>
                <w:szCs w:val="18"/>
                <w:lang w:eastAsia="fi-FI"/>
              </w:rPr>
              <w:t>20.9</w:t>
            </w:r>
          </w:p>
        </w:tc>
        <w:tc>
          <w:tcPr>
            <w:tcW w:w="1015" w:type="dxa"/>
            <w:tcBorders>
              <w:top w:val="nil"/>
              <w:left w:val="nil"/>
              <w:bottom w:val="single" w:sz="4" w:space="0" w:color="auto"/>
              <w:right w:val="single" w:sz="4" w:space="0" w:color="auto"/>
            </w:tcBorders>
            <w:shd w:val="clear" w:color="auto" w:fill="auto"/>
            <w:noWrap/>
            <w:vAlign w:val="center"/>
            <w:hideMark/>
          </w:tcPr>
          <w:p w14:paraId="7DCFD8F5" w14:textId="77777777" w:rsidR="00B519F6" w:rsidRPr="002E0CD4" w:rsidRDefault="00B519F6" w:rsidP="004C5B4E">
            <w:pPr>
              <w:spacing w:after="0"/>
              <w:jc w:val="center"/>
              <w:rPr>
                <w:rFonts w:ascii="Arial" w:hAnsi="Arial" w:cs="Arial"/>
                <w:b/>
                <w:bCs/>
                <w:color w:val="000000"/>
                <w:sz w:val="18"/>
                <w:szCs w:val="18"/>
                <w:lang w:eastAsia="fi-FI"/>
              </w:rPr>
            </w:pPr>
            <w:r w:rsidRPr="002E0CD4">
              <w:rPr>
                <w:rFonts w:ascii="Arial" w:hAnsi="Arial" w:cs="Arial"/>
                <w:b/>
                <w:bCs/>
                <w:color w:val="000000"/>
                <w:sz w:val="18"/>
                <w:szCs w:val="18"/>
                <w:lang w:eastAsia="fi-FI"/>
              </w:rPr>
              <w:t>26.9</w:t>
            </w:r>
          </w:p>
        </w:tc>
        <w:tc>
          <w:tcPr>
            <w:tcW w:w="1015" w:type="dxa"/>
            <w:tcBorders>
              <w:top w:val="nil"/>
              <w:left w:val="nil"/>
              <w:bottom w:val="single" w:sz="4" w:space="0" w:color="auto"/>
              <w:right w:val="single" w:sz="4" w:space="0" w:color="auto"/>
            </w:tcBorders>
            <w:shd w:val="clear" w:color="auto" w:fill="auto"/>
            <w:noWrap/>
            <w:vAlign w:val="center"/>
            <w:hideMark/>
          </w:tcPr>
          <w:p w14:paraId="29C33248" w14:textId="77777777" w:rsidR="00B519F6" w:rsidRPr="002E0CD4" w:rsidRDefault="00B519F6" w:rsidP="004C5B4E">
            <w:pPr>
              <w:spacing w:after="0"/>
              <w:jc w:val="center"/>
              <w:rPr>
                <w:rFonts w:ascii="Arial" w:hAnsi="Arial" w:cs="Arial"/>
                <w:b/>
                <w:bCs/>
                <w:color w:val="000000"/>
                <w:sz w:val="18"/>
                <w:szCs w:val="18"/>
                <w:lang w:eastAsia="fi-FI"/>
              </w:rPr>
            </w:pPr>
            <w:r w:rsidRPr="002E0CD4">
              <w:rPr>
                <w:rFonts w:ascii="Arial" w:hAnsi="Arial" w:cs="Arial"/>
                <w:b/>
                <w:bCs/>
                <w:color w:val="000000"/>
                <w:sz w:val="18"/>
                <w:szCs w:val="18"/>
                <w:lang w:eastAsia="fi-FI"/>
              </w:rPr>
              <w:t>32.9</w:t>
            </w:r>
          </w:p>
        </w:tc>
      </w:tr>
    </w:tbl>
    <w:p w14:paraId="5750C40E" w14:textId="77777777" w:rsidR="004A79D5" w:rsidRDefault="004A79D5" w:rsidP="00B519F6"/>
    <w:p w14:paraId="0FC667F4" w14:textId="300F5586" w:rsidR="00B519F6" w:rsidRDefault="00B519F6" w:rsidP="00B519F6">
      <w:r>
        <w:lastRenderedPageBreak/>
        <w:t>Any additional implementations losses would naturally lower either EIRP or both of the TRP and EIRP metrics.</w:t>
      </w:r>
    </w:p>
    <w:p w14:paraId="498EAA19" w14:textId="77777777" w:rsidR="00B519F6" w:rsidRDefault="00B519F6" w:rsidP="00B519F6">
      <w:r>
        <w:t>From the analysis it can be observed that as long as implementation losses are kept in control it is possible to achieve reasonable output powers. It should be noted that P1dB used in the table may be conservative compared to P1dB achievable from e.g. CMOS technology. Therefore, it can be considered that front-end losses are captured in the analysis already by choosing a low output power per PA.</w:t>
      </w:r>
    </w:p>
    <w:p w14:paraId="01204C3D" w14:textId="2C38582A" w:rsidR="00B519F6" w:rsidRDefault="00B519F6" w:rsidP="00B519F6">
      <w:pPr>
        <w:rPr>
          <w:b/>
          <w:bCs/>
        </w:rPr>
      </w:pPr>
      <w:r w:rsidRPr="00B4172D">
        <w:rPr>
          <w:b/>
          <w:bCs/>
        </w:rPr>
        <w:t xml:space="preserve">Observation </w:t>
      </w:r>
      <w:r>
        <w:rPr>
          <w:b/>
          <w:bCs/>
        </w:rPr>
        <w:t>1</w:t>
      </w:r>
      <w:r w:rsidRPr="00B4172D">
        <w:rPr>
          <w:b/>
          <w:bCs/>
        </w:rPr>
        <w:t>:</w:t>
      </w:r>
      <w:r>
        <w:rPr>
          <w:b/>
          <w:bCs/>
        </w:rPr>
        <w:t xml:space="preserve"> Implementation losses need special attention to guarantee high EIRP output and therefore good UL link budget. </w:t>
      </w:r>
    </w:p>
    <w:p w14:paraId="564EACA3" w14:textId="41090892" w:rsidR="005B0429" w:rsidRPr="005B0429" w:rsidRDefault="00BC5792" w:rsidP="005B0429">
      <w:r w:rsidRPr="005B0429">
        <w:t xml:space="preserve">During RAN4#99 is was agreed that </w:t>
      </w:r>
      <w:r w:rsidR="005B0429" w:rsidRPr="005B0429">
        <w:t>Power classes will be a package of four parameters</w:t>
      </w:r>
      <w:r w:rsidR="005B0429">
        <w:t xml:space="preserve"> [4]</w:t>
      </w:r>
      <w:r w:rsidR="005B0429" w:rsidRPr="005B0429">
        <w:t>:</w:t>
      </w:r>
    </w:p>
    <w:p w14:paraId="2341D81C" w14:textId="77777777" w:rsidR="005B0429" w:rsidRPr="005B0429" w:rsidRDefault="005B0429" w:rsidP="005B0429">
      <w:pPr>
        <w:pStyle w:val="ListParagraph"/>
        <w:numPr>
          <w:ilvl w:val="0"/>
          <w:numId w:val="41"/>
        </w:numPr>
      </w:pPr>
      <w:r w:rsidRPr="005B0429">
        <w:t>Minimum peak EIRP</w:t>
      </w:r>
    </w:p>
    <w:p w14:paraId="300C7D6B" w14:textId="77777777" w:rsidR="005B0429" w:rsidRPr="005B0429" w:rsidRDefault="005B0429" w:rsidP="005B0429">
      <w:pPr>
        <w:pStyle w:val="ListParagraph"/>
        <w:numPr>
          <w:ilvl w:val="0"/>
          <w:numId w:val="41"/>
        </w:numPr>
      </w:pPr>
      <w:r w:rsidRPr="005B0429">
        <w:t>EIRP spherical coverage</w:t>
      </w:r>
    </w:p>
    <w:p w14:paraId="6A344424" w14:textId="77777777" w:rsidR="005B0429" w:rsidRPr="005B0429" w:rsidRDefault="005B0429" w:rsidP="005B0429">
      <w:pPr>
        <w:pStyle w:val="ListParagraph"/>
        <w:numPr>
          <w:ilvl w:val="0"/>
          <w:numId w:val="41"/>
        </w:numPr>
      </w:pPr>
      <w:r w:rsidRPr="005B0429">
        <w:t>Maximum TRP</w:t>
      </w:r>
    </w:p>
    <w:p w14:paraId="089B0041" w14:textId="1B75A01D" w:rsidR="00BC5792" w:rsidRDefault="005B0429" w:rsidP="005B0429">
      <w:pPr>
        <w:pStyle w:val="ListParagraph"/>
        <w:numPr>
          <w:ilvl w:val="0"/>
          <w:numId w:val="41"/>
        </w:numPr>
      </w:pPr>
      <w:r w:rsidRPr="005B0429">
        <w:t>Maximum EIRP (regulatory defined, captured for reference)</w:t>
      </w:r>
    </w:p>
    <w:p w14:paraId="0A8C36E1" w14:textId="3C0EE9CD" w:rsidR="0045056A" w:rsidRDefault="002662A0" w:rsidP="0045056A">
      <w:r>
        <w:t xml:space="preserve">It </w:t>
      </w:r>
      <w:r w:rsidR="00247C29">
        <w:t xml:space="preserve">was concluded at </w:t>
      </w:r>
      <w:r w:rsidR="00247C29" w:rsidRPr="005B0429">
        <w:t xml:space="preserve">RAN4#99 </w:t>
      </w:r>
      <w:r w:rsidRPr="002662A0">
        <w:t>whether EIRP PSD limit needs to be included</w:t>
      </w:r>
      <w:r w:rsidR="00247C29">
        <w:t xml:space="preserve"> needs to be further discussed</w:t>
      </w:r>
      <w:r>
        <w:t>.</w:t>
      </w:r>
    </w:p>
    <w:p w14:paraId="26BF1397" w14:textId="73D20CA8" w:rsidR="00C10489" w:rsidRDefault="00C10489" w:rsidP="00C10489">
      <w:r w:rsidRPr="00F0663A">
        <w:t xml:space="preserve">When </w:t>
      </w:r>
      <w:r>
        <w:t xml:space="preserve">considering unlicensed deployments and </w:t>
      </w:r>
      <w:r w:rsidRPr="009C7C3C">
        <w:t xml:space="preserve">ETSI EN 303 753 </w:t>
      </w:r>
      <w:r w:rsidR="004A79D5" w:rsidRPr="009C7C3C">
        <w:t>[</w:t>
      </w:r>
      <w:r w:rsidR="004A79D5">
        <w:t>5</w:t>
      </w:r>
      <w:r w:rsidR="004A79D5" w:rsidRPr="009C7C3C">
        <w:t>]</w:t>
      </w:r>
      <w:r w:rsidR="004A79D5">
        <w:t xml:space="preserve"> </w:t>
      </w:r>
      <w:r w:rsidRPr="009C7C3C">
        <w:t xml:space="preserve">harmonized standard </w:t>
      </w:r>
      <w:r>
        <w:t>these limits are already given as shown in Table 2:</w:t>
      </w:r>
    </w:p>
    <w:p w14:paraId="0B5F4D51" w14:textId="484AB0C7" w:rsidR="00C10489" w:rsidRPr="002E0CD4" w:rsidRDefault="00C10489" w:rsidP="00C10489">
      <w:pPr>
        <w:jc w:val="center"/>
        <w:rPr>
          <w:b/>
          <w:bCs/>
        </w:rPr>
      </w:pPr>
      <w:r w:rsidRPr="002E0CD4">
        <w:rPr>
          <w:b/>
          <w:bCs/>
        </w:rPr>
        <w:t xml:space="preserve">Table </w:t>
      </w:r>
      <w:r>
        <w:rPr>
          <w:b/>
          <w:bCs/>
        </w:rPr>
        <w:t>2</w:t>
      </w:r>
      <w:r w:rsidRPr="002E0CD4">
        <w:rPr>
          <w:b/>
          <w:bCs/>
        </w:rPr>
        <w:t xml:space="preserve">: </w:t>
      </w:r>
      <w:r>
        <w:rPr>
          <w:b/>
          <w:bCs/>
        </w:rPr>
        <w:t>M</w:t>
      </w:r>
      <w:r w:rsidRPr="00D915F3">
        <w:rPr>
          <w:b/>
          <w:bCs/>
        </w:rPr>
        <w:t>aximum RF output power</w:t>
      </w:r>
      <w:r>
        <w:rPr>
          <w:b/>
          <w:bCs/>
        </w:rPr>
        <w:t xml:space="preserve"> and </w:t>
      </w:r>
      <w:r w:rsidRPr="004348AE">
        <w:rPr>
          <w:b/>
          <w:bCs/>
        </w:rPr>
        <w:t>spectral density</w:t>
      </w:r>
      <w:r>
        <w:rPr>
          <w:b/>
          <w:bCs/>
        </w:rPr>
        <w:t xml:space="preserve"> [5]</w:t>
      </w:r>
    </w:p>
    <w:tbl>
      <w:tblPr>
        <w:tblW w:w="5524" w:type="dxa"/>
        <w:jc w:val="center"/>
        <w:tblCellMar>
          <w:left w:w="70" w:type="dxa"/>
          <w:right w:w="70" w:type="dxa"/>
        </w:tblCellMar>
        <w:tblLook w:val="04A0" w:firstRow="1" w:lastRow="0" w:firstColumn="1" w:lastColumn="0" w:noHBand="0" w:noVBand="1"/>
      </w:tblPr>
      <w:tblGrid>
        <w:gridCol w:w="3670"/>
        <w:gridCol w:w="1854"/>
      </w:tblGrid>
      <w:tr w:rsidR="00C10489" w:rsidRPr="002E0CD4" w14:paraId="6FFDFCEC" w14:textId="77777777" w:rsidTr="0033471F">
        <w:trPr>
          <w:trHeight w:val="20"/>
          <w:jc w:val="center"/>
        </w:trPr>
        <w:tc>
          <w:tcPr>
            <w:tcW w:w="3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5DE83" w14:textId="77777777" w:rsidR="00C10489" w:rsidRPr="002E0CD4" w:rsidRDefault="00C10489" w:rsidP="00123805">
            <w:pPr>
              <w:spacing w:after="0"/>
              <w:jc w:val="center"/>
              <w:rPr>
                <w:rFonts w:ascii="Arial" w:hAnsi="Arial" w:cs="Arial"/>
                <w:color w:val="000000"/>
                <w:sz w:val="18"/>
                <w:szCs w:val="18"/>
                <w:lang w:eastAsia="fi-FI"/>
              </w:rPr>
            </w:pPr>
            <w:r w:rsidRPr="000C4297">
              <w:rPr>
                <w:rFonts w:ascii="Arial" w:hAnsi="Arial" w:cs="Arial"/>
                <w:color w:val="000000"/>
                <w:sz w:val="18"/>
                <w:szCs w:val="18"/>
                <w:lang w:eastAsia="fi-FI"/>
              </w:rPr>
              <w:t>Maximum power level EIRP</w:t>
            </w:r>
          </w:p>
        </w:tc>
        <w:tc>
          <w:tcPr>
            <w:tcW w:w="1854" w:type="dxa"/>
            <w:tcBorders>
              <w:top w:val="single" w:sz="4" w:space="0" w:color="auto"/>
              <w:left w:val="nil"/>
              <w:bottom w:val="single" w:sz="4" w:space="0" w:color="auto"/>
              <w:right w:val="single" w:sz="4" w:space="0" w:color="auto"/>
            </w:tcBorders>
            <w:shd w:val="clear" w:color="auto" w:fill="auto"/>
            <w:vAlign w:val="center"/>
            <w:hideMark/>
          </w:tcPr>
          <w:p w14:paraId="61D6295F" w14:textId="77777777" w:rsidR="00C10489" w:rsidRPr="002E0CD4" w:rsidRDefault="00C10489" w:rsidP="00123805">
            <w:pPr>
              <w:spacing w:after="0"/>
              <w:jc w:val="center"/>
              <w:rPr>
                <w:rFonts w:ascii="Arial" w:hAnsi="Arial" w:cs="Arial"/>
                <w:color w:val="000000"/>
                <w:sz w:val="18"/>
                <w:szCs w:val="18"/>
                <w:lang w:eastAsia="fi-FI"/>
              </w:rPr>
            </w:pPr>
            <w:r>
              <w:rPr>
                <w:rFonts w:ascii="Arial" w:hAnsi="Arial" w:cs="Arial"/>
                <w:color w:val="000000"/>
                <w:sz w:val="18"/>
                <w:szCs w:val="18"/>
                <w:lang w:eastAsia="fi-FI"/>
              </w:rPr>
              <w:t>40 dBm</w:t>
            </w:r>
          </w:p>
        </w:tc>
      </w:tr>
      <w:tr w:rsidR="00C10489" w:rsidRPr="002E0CD4" w14:paraId="1AF4E890" w14:textId="77777777" w:rsidTr="0033471F">
        <w:trPr>
          <w:trHeight w:val="20"/>
          <w:jc w:val="center"/>
        </w:trPr>
        <w:tc>
          <w:tcPr>
            <w:tcW w:w="3670" w:type="dxa"/>
            <w:tcBorders>
              <w:top w:val="nil"/>
              <w:left w:val="single" w:sz="4" w:space="0" w:color="auto"/>
              <w:bottom w:val="single" w:sz="4" w:space="0" w:color="auto"/>
              <w:right w:val="single" w:sz="4" w:space="0" w:color="auto"/>
            </w:tcBorders>
            <w:shd w:val="clear" w:color="auto" w:fill="auto"/>
            <w:vAlign w:val="center"/>
            <w:hideMark/>
          </w:tcPr>
          <w:p w14:paraId="7DDCDAA6" w14:textId="77777777" w:rsidR="00C10489" w:rsidRPr="002E0CD4" w:rsidRDefault="00C10489" w:rsidP="00123805">
            <w:pPr>
              <w:spacing w:after="0"/>
              <w:jc w:val="center"/>
              <w:rPr>
                <w:rFonts w:ascii="Arial" w:hAnsi="Arial" w:cs="Arial"/>
                <w:color w:val="000000"/>
                <w:sz w:val="18"/>
                <w:szCs w:val="18"/>
                <w:lang w:eastAsia="fi-FI"/>
              </w:rPr>
            </w:pPr>
            <w:r w:rsidRPr="00D52D57">
              <w:rPr>
                <w:rFonts w:ascii="Arial" w:hAnsi="Arial" w:cs="Arial"/>
                <w:color w:val="000000"/>
                <w:sz w:val="18"/>
                <w:szCs w:val="18"/>
                <w:lang w:eastAsia="fi-FI"/>
              </w:rPr>
              <w:t>Maximum power at antenna port or ports</w:t>
            </w:r>
          </w:p>
        </w:tc>
        <w:tc>
          <w:tcPr>
            <w:tcW w:w="1854" w:type="dxa"/>
            <w:tcBorders>
              <w:top w:val="nil"/>
              <w:left w:val="nil"/>
              <w:bottom w:val="single" w:sz="4" w:space="0" w:color="auto"/>
              <w:right w:val="single" w:sz="4" w:space="0" w:color="auto"/>
            </w:tcBorders>
            <w:shd w:val="clear" w:color="auto" w:fill="auto"/>
            <w:vAlign w:val="center"/>
            <w:hideMark/>
          </w:tcPr>
          <w:p w14:paraId="1CBD0852" w14:textId="77777777" w:rsidR="00C10489" w:rsidRPr="002E0CD4" w:rsidRDefault="00C10489" w:rsidP="00123805">
            <w:pPr>
              <w:spacing w:after="0"/>
              <w:jc w:val="center"/>
              <w:rPr>
                <w:rFonts w:ascii="Arial" w:hAnsi="Arial" w:cs="Arial"/>
                <w:color w:val="000000"/>
                <w:sz w:val="18"/>
                <w:szCs w:val="18"/>
                <w:lang w:eastAsia="fi-FI"/>
              </w:rPr>
            </w:pPr>
            <w:r>
              <w:rPr>
                <w:rFonts w:ascii="Arial" w:hAnsi="Arial" w:cs="Arial"/>
                <w:color w:val="000000"/>
                <w:sz w:val="18"/>
                <w:szCs w:val="18"/>
                <w:lang w:eastAsia="fi-FI"/>
              </w:rPr>
              <w:t>27 dBm</w:t>
            </w:r>
          </w:p>
        </w:tc>
      </w:tr>
      <w:tr w:rsidR="00C10489" w:rsidRPr="002E0CD4" w14:paraId="683C9ED9" w14:textId="77777777" w:rsidTr="0033471F">
        <w:trPr>
          <w:trHeight w:val="20"/>
          <w:jc w:val="center"/>
        </w:trPr>
        <w:tc>
          <w:tcPr>
            <w:tcW w:w="3670" w:type="dxa"/>
            <w:tcBorders>
              <w:top w:val="nil"/>
              <w:left w:val="single" w:sz="4" w:space="0" w:color="auto"/>
              <w:bottom w:val="single" w:sz="4" w:space="0" w:color="auto"/>
              <w:right w:val="single" w:sz="4" w:space="0" w:color="auto"/>
            </w:tcBorders>
            <w:shd w:val="clear" w:color="auto" w:fill="auto"/>
            <w:vAlign w:val="center"/>
          </w:tcPr>
          <w:p w14:paraId="408AADAF" w14:textId="77777777" w:rsidR="00C10489" w:rsidRPr="00D52D57" w:rsidRDefault="00C10489" w:rsidP="00123805">
            <w:pPr>
              <w:spacing w:after="0"/>
              <w:jc w:val="center"/>
              <w:rPr>
                <w:rFonts w:ascii="Arial" w:hAnsi="Arial" w:cs="Arial"/>
                <w:color w:val="000000"/>
                <w:sz w:val="18"/>
                <w:szCs w:val="18"/>
                <w:lang w:eastAsia="fi-FI"/>
              </w:rPr>
            </w:pPr>
            <w:r>
              <w:rPr>
                <w:rFonts w:ascii="Arial" w:hAnsi="Arial" w:cs="Arial"/>
                <w:color w:val="000000"/>
                <w:sz w:val="18"/>
                <w:szCs w:val="18"/>
                <w:lang w:eastAsia="fi-FI"/>
              </w:rPr>
              <w:t>Maximum TRP</w:t>
            </w:r>
          </w:p>
        </w:tc>
        <w:tc>
          <w:tcPr>
            <w:tcW w:w="1854" w:type="dxa"/>
            <w:tcBorders>
              <w:top w:val="nil"/>
              <w:left w:val="nil"/>
              <w:bottom w:val="single" w:sz="4" w:space="0" w:color="auto"/>
              <w:right w:val="single" w:sz="4" w:space="0" w:color="auto"/>
            </w:tcBorders>
            <w:shd w:val="clear" w:color="auto" w:fill="auto"/>
            <w:vAlign w:val="center"/>
          </w:tcPr>
          <w:p w14:paraId="2335F675" w14:textId="77777777" w:rsidR="00C10489" w:rsidRDefault="00C10489" w:rsidP="00123805">
            <w:pPr>
              <w:spacing w:after="0"/>
              <w:jc w:val="center"/>
              <w:rPr>
                <w:rFonts w:ascii="Arial" w:hAnsi="Arial" w:cs="Arial"/>
                <w:color w:val="000000"/>
                <w:sz w:val="18"/>
                <w:szCs w:val="18"/>
                <w:lang w:eastAsia="fi-FI"/>
              </w:rPr>
            </w:pPr>
            <w:r>
              <w:rPr>
                <w:rFonts w:ascii="Arial" w:hAnsi="Arial" w:cs="Arial"/>
                <w:color w:val="000000"/>
                <w:sz w:val="18"/>
                <w:szCs w:val="18"/>
                <w:lang w:eastAsia="fi-FI"/>
              </w:rPr>
              <w:t>27 dBm</w:t>
            </w:r>
          </w:p>
        </w:tc>
      </w:tr>
      <w:tr w:rsidR="00C10489" w:rsidRPr="002E0CD4" w14:paraId="3BE9B2D5" w14:textId="77777777" w:rsidTr="0033471F">
        <w:trPr>
          <w:trHeight w:val="20"/>
          <w:jc w:val="center"/>
        </w:trPr>
        <w:tc>
          <w:tcPr>
            <w:tcW w:w="3670" w:type="dxa"/>
            <w:tcBorders>
              <w:top w:val="nil"/>
              <w:left w:val="single" w:sz="4" w:space="0" w:color="auto"/>
              <w:bottom w:val="single" w:sz="4" w:space="0" w:color="auto"/>
              <w:right w:val="single" w:sz="4" w:space="0" w:color="auto"/>
            </w:tcBorders>
            <w:shd w:val="clear" w:color="auto" w:fill="auto"/>
            <w:vAlign w:val="center"/>
            <w:hideMark/>
          </w:tcPr>
          <w:p w14:paraId="78A6DB72" w14:textId="77777777" w:rsidR="00C10489" w:rsidRPr="002E0CD4" w:rsidRDefault="00C10489" w:rsidP="00123805">
            <w:pPr>
              <w:spacing w:after="0"/>
              <w:jc w:val="center"/>
              <w:rPr>
                <w:rFonts w:ascii="Arial" w:hAnsi="Arial" w:cs="Arial"/>
                <w:color w:val="000000"/>
                <w:sz w:val="18"/>
                <w:szCs w:val="18"/>
                <w:lang w:eastAsia="fi-FI"/>
              </w:rPr>
            </w:pPr>
            <w:r w:rsidRPr="00B832A1">
              <w:rPr>
                <w:rFonts w:ascii="Arial" w:hAnsi="Arial" w:cs="Arial"/>
                <w:color w:val="000000"/>
                <w:sz w:val="18"/>
                <w:szCs w:val="18"/>
                <w:lang w:eastAsia="fi-FI"/>
              </w:rPr>
              <w:t>Maximum power spectral density (EIRP)</w:t>
            </w:r>
          </w:p>
        </w:tc>
        <w:tc>
          <w:tcPr>
            <w:tcW w:w="1854" w:type="dxa"/>
            <w:tcBorders>
              <w:top w:val="nil"/>
              <w:left w:val="nil"/>
              <w:bottom w:val="single" w:sz="4" w:space="0" w:color="auto"/>
              <w:right w:val="single" w:sz="4" w:space="0" w:color="auto"/>
            </w:tcBorders>
            <w:shd w:val="clear" w:color="auto" w:fill="auto"/>
            <w:vAlign w:val="center"/>
            <w:hideMark/>
          </w:tcPr>
          <w:p w14:paraId="343DA4D8" w14:textId="77777777" w:rsidR="00C10489" w:rsidRPr="002E0CD4" w:rsidRDefault="00C10489" w:rsidP="00123805">
            <w:pPr>
              <w:spacing w:after="0"/>
              <w:jc w:val="center"/>
              <w:rPr>
                <w:rFonts w:ascii="Arial" w:hAnsi="Arial" w:cs="Arial"/>
                <w:color w:val="000000"/>
                <w:sz w:val="18"/>
                <w:szCs w:val="18"/>
                <w:lang w:eastAsia="fi-FI"/>
              </w:rPr>
            </w:pPr>
            <w:r>
              <w:rPr>
                <w:rFonts w:ascii="Arial" w:hAnsi="Arial" w:cs="Arial"/>
                <w:color w:val="000000"/>
                <w:sz w:val="18"/>
                <w:szCs w:val="18"/>
                <w:lang w:eastAsia="fi-FI"/>
              </w:rPr>
              <w:t>23dBm/MHz</w:t>
            </w:r>
          </w:p>
        </w:tc>
      </w:tr>
    </w:tbl>
    <w:p w14:paraId="232C3837" w14:textId="0F7E7058" w:rsidR="00247C29" w:rsidRPr="005B0429" w:rsidRDefault="00247C29" w:rsidP="00541D37"/>
    <w:p w14:paraId="5D886A22" w14:textId="17D9C29A" w:rsidR="00A63C0C" w:rsidRDefault="00A63C0C" w:rsidP="00A63C0C">
      <w:r w:rsidRPr="00A63C0C">
        <w:t xml:space="preserve">During </w:t>
      </w:r>
      <w:r>
        <w:t>RAN4#100 it was agreed</w:t>
      </w:r>
      <w:r w:rsidRPr="00A63C0C">
        <w:t xml:space="preserve"> </w:t>
      </w:r>
      <w:r>
        <w:t xml:space="preserve">to </w:t>
      </w:r>
      <w:r w:rsidRPr="00A63C0C">
        <w:t>discuss RAN4 requirements, considering the following regulatory UE maximum output power limits</w:t>
      </w:r>
      <w:r>
        <w:t xml:space="preserve"> (</w:t>
      </w:r>
      <w:r w:rsidRPr="00A63C0C">
        <w:t>Other regional regulatory requirements not precluded</w:t>
      </w:r>
      <w:r>
        <w:t>)</w:t>
      </w:r>
      <w:r w:rsidR="004A79D5">
        <w:t xml:space="preserve"> [11]</w:t>
      </w:r>
      <w:r>
        <w:t>:</w:t>
      </w:r>
    </w:p>
    <w:p w14:paraId="403C6A8C" w14:textId="77777777" w:rsidR="00A63C0C" w:rsidRDefault="00A63C0C" w:rsidP="00CA6B92">
      <w:pPr>
        <w:pStyle w:val="ListParagraph"/>
        <w:numPr>
          <w:ilvl w:val="0"/>
          <w:numId w:val="45"/>
        </w:numPr>
      </w:pPr>
      <w:r>
        <w:t>Maximum peak EIRP requirement 43 dBm</w:t>
      </w:r>
    </w:p>
    <w:p w14:paraId="211C1DF4" w14:textId="77777777" w:rsidR="00A63C0C" w:rsidRDefault="00A63C0C" w:rsidP="00EA5B7C">
      <w:pPr>
        <w:pStyle w:val="ListParagraph"/>
        <w:numPr>
          <w:ilvl w:val="0"/>
          <w:numId w:val="45"/>
        </w:numPr>
      </w:pPr>
      <w:r>
        <w:t>Maximum average EIRP requirement 40 dBm</w:t>
      </w:r>
    </w:p>
    <w:p w14:paraId="54EDB20E" w14:textId="65B5CD10" w:rsidR="00A63C0C" w:rsidRDefault="00A63C0C" w:rsidP="00A63C0C">
      <w:pPr>
        <w:pStyle w:val="ListParagraph"/>
        <w:numPr>
          <w:ilvl w:val="0"/>
          <w:numId w:val="45"/>
        </w:numPr>
      </w:pPr>
      <w:r>
        <w:t>Maximum TRP 27dBm</w:t>
      </w:r>
    </w:p>
    <w:p w14:paraId="3EB03D6B" w14:textId="77777777" w:rsidR="00A63C0C" w:rsidRPr="00A63C0C" w:rsidRDefault="00A63C0C" w:rsidP="00A63C0C">
      <w:pPr>
        <w:pStyle w:val="ListParagraph"/>
        <w:numPr>
          <w:ilvl w:val="1"/>
          <w:numId w:val="45"/>
        </w:numPr>
      </w:pPr>
      <w:r w:rsidRPr="00A63C0C">
        <w:t>27dBm is conductive power defined in US</w:t>
      </w:r>
    </w:p>
    <w:p w14:paraId="7AB40E70" w14:textId="0602D567" w:rsidR="00A63C0C" w:rsidRDefault="0033471F" w:rsidP="00A63C0C">
      <w:r>
        <w:t>This agrees well with Table 2, so we think this is a good starting point.</w:t>
      </w:r>
    </w:p>
    <w:p w14:paraId="45F42A55" w14:textId="7B7F289B" w:rsidR="0033471F" w:rsidRDefault="0033471F" w:rsidP="0033471F">
      <w:pPr>
        <w:rPr>
          <w:b/>
          <w:bCs/>
        </w:rPr>
      </w:pPr>
      <w:r w:rsidRPr="00B4172D">
        <w:rPr>
          <w:b/>
          <w:bCs/>
        </w:rPr>
        <w:t xml:space="preserve">Observation </w:t>
      </w:r>
      <w:r>
        <w:rPr>
          <w:b/>
          <w:bCs/>
        </w:rPr>
        <w:t>2</w:t>
      </w:r>
      <w:r w:rsidRPr="00B4172D">
        <w:rPr>
          <w:b/>
          <w:bCs/>
        </w:rPr>
        <w:t>:</w:t>
      </w:r>
      <w:r>
        <w:rPr>
          <w:b/>
          <w:bCs/>
        </w:rPr>
        <w:t xml:space="preserve"> </w:t>
      </w:r>
      <w:r w:rsidRPr="0033471F">
        <w:rPr>
          <w:b/>
          <w:bCs/>
        </w:rPr>
        <w:t>UE maximum output power limits</w:t>
      </w:r>
      <w:r>
        <w:rPr>
          <w:b/>
          <w:bCs/>
        </w:rPr>
        <w:t xml:space="preserve"> considered agrees well with </w:t>
      </w:r>
      <w:r w:rsidR="004A79D5" w:rsidRPr="004A79D5">
        <w:rPr>
          <w:b/>
          <w:bCs/>
        </w:rPr>
        <w:t>regulatory requirements</w:t>
      </w:r>
      <w:r>
        <w:rPr>
          <w:b/>
          <w:bCs/>
        </w:rPr>
        <w:t xml:space="preserve">. </w:t>
      </w:r>
    </w:p>
    <w:p w14:paraId="321F0D9B" w14:textId="71038BE8" w:rsidR="0033471F" w:rsidRDefault="0033471F" w:rsidP="00A63C0C">
      <w:r>
        <w:t>Further, it was agreed during RAN4#100 to r</w:t>
      </w:r>
      <w:r w:rsidRPr="0033471F">
        <w:t>euse the framework of power class naming in FR2-1 (i.e., PC1 ~ PC5) same in FR2-2 unless there is issue and specify the corresponding MOP requirements (i.e., minimum peak EIRP, EIRP spherical coverage, maximum TRP and maximum peak EIRP) for the band to be defined in FR2-2.</w:t>
      </w:r>
      <w:r>
        <w:t xml:space="preserve"> With the conditions:</w:t>
      </w:r>
    </w:p>
    <w:p w14:paraId="572E7952" w14:textId="77777777" w:rsidR="0033471F" w:rsidRDefault="0033471F" w:rsidP="00D14663">
      <w:pPr>
        <w:pStyle w:val="ListParagraph"/>
        <w:numPr>
          <w:ilvl w:val="0"/>
          <w:numId w:val="46"/>
        </w:numPr>
      </w:pPr>
      <w:r>
        <w:t>Power class refers to MOP requirements for FR2-1. They are min peak EIRP, max peak EIRP, TRP, and spherical coverage. Adopt the wording in the tentative agreement.</w:t>
      </w:r>
    </w:p>
    <w:p w14:paraId="4A4E889A" w14:textId="77777777" w:rsidR="0033471F" w:rsidRDefault="0033471F" w:rsidP="00F85CCC">
      <w:pPr>
        <w:pStyle w:val="ListParagraph"/>
        <w:numPr>
          <w:ilvl w:val="0"/>
          <w:numId w:val="46"/>
        </w:numPr>
      </w:pPr>
      <w:r>
        <w:t>REFSENS requirements can be defined for different power classes</w:t>
      </w:r>
    </w:p>
    <w:p w14:paraId="36E175AD" w14:textId="77777777" w:rsidR="0033471F" w:rsidRDefault="0033471F" w:rsidP="007C6CF8">
      <w:pPr>
        <w:pStyle w:val="ListParagraph"/>
        <w:numPr>
          <w:ilvl w:val="0"/>
          <w:numId w:val="46"/>
        </w:numPr>
      </w:pPr>
      <w:r>
        <w:t>FFS on the concrete requirements for each power class for different operating bands.</w:t>
      </w:r>
    </w:p>
    <w:p w14:paraId="4D17315B" w14:textId="5BDFE1AC" w:rsidR="0033471F" w:rsidRDefault="0033471F" w:rsidP="007C6CF8">
      <w:pPr>
        <w:pStyle w:val="ListParagraph"/>
        <w:numPr>
          <w:ilvl w:val="0"/>
          <w:numId w:val="46"/>
        </w:numPr>
      </w:pPr>
      <w:r>
        <w:t>Retain the FR2-2 device types the same as those for FR2-1 in terms of power class</w:t>
      </w:r>
    </w:p>
    <w:p w14:paraId="7EBE40A5" w14:textId="4ED81243" w:rsidR="0033471F" w:rsidRDefault="0033471F" w:rsidP="00A63C0C">
      <w:r w:rsidRPr="0033471F">
        <w:t xml:space="preserve">During RAN4#99 it was agreed that typical array sizes for the targeted device form factors should be further discussed as a part of the power classes definition. It was further agreed to consider handheld, FWA and vehicular type of UEs. </w:t>
      </w:r>
      <w:r>
        <w:t xml:space="preserve"> </w:t>
      </w:r>
      <w:r w:rsidR="00A63C0C" w:rsidRPr="00A63C0C">
        <w:t xml:space="preserve">During </w:t>
      </w:r>
      <w:r w:rsidR="00A63C0C">
        <w:t xml:space="preserve">RAN4#100 it was agreed to have further analysis on the UE EIPR requirements taking both antenna element number and PA performance including multiple antenna element numbers and practical form factors. However, the </w:t>
      </w:r>
      <w:r w:rsidR="00A63C0C" w:rsidRPr="00C10489">
        <w:t>typical array sizes</w:t>
      </w:r>
      <w:r w:rsidR="00A63C0C">
        <w:t xml:space="preserve"> envisioned if not fully clear. Both achievable EIRP and receiver sensitivity have a dependence on the antenna array size. </w:t>
      </w:r>
      <w:r>
        <w:t>Therefor it was further agreed at RAN4#100</w:t>
      </w:r>
      <w:r w:rsidR="004A79D5">
        <w:t xml:space="preserve"> [11]</w:t>
      </w:r>
      <w:r>
        <w:t xml:space="preserve"> to f</w:t>
      </w:r>
      <w:r w:rsidRPr="0033471F">
        <w:t>ocus primarily on antenna element numbers as they are related to directivity</w:t>
      </w:r>
      <w:r>
        <w:t xml:space="preserve"> and c</w:t>
      </w:r>
      <w:r w:rsidRPr="0033471F">
        <w:t>onsider the possibility of use directivity as a factor in developing the spec as an alternative if it appears to be a more efficient way to come to a requirements agreement.</w:t>
      </w:r>
    </w:p>
    <w:p w14:paraId="780A68CB" w14:textId="7C6D3FB9" w:rsidR="00A63C0C" w:rsidRDefault="00A63C0C" w:rsidP="00A63C0C">
      <w:r>
        <w:t xml:space="preserve">It would be therefore beneficial to discuss what are </w:t>
      </w:r>
      <w:r w:rsidR="0033471F">
        <w:t xml:space="preserve">expected to be the </w:t>
      </w:r>
      <w:r>
        <w:t xml:space="preserve">typical </w:t>
      </w:r>
      <w:r w:rsidR="0033471F">
        <w:t>number of elements</w:t>
      </w:r>
      <w:r>
        <w:t xml:space="preserve"> for the targeted device form factors.</w:t>
      </w:r>
    </w:p>
    <w:p w14:paraId="42631DB2" w14:textId="2E798ABE" w:rsidR="00A63C0C" w:rsidRDefault="00A63C0C" w:rsidP="00A63C0C">
      <w:r w:rsidRPr="304352E5">
        <w:rPr>
          <w:b/>
          <w:bCs/>
        </w:rPr>
        <w:t xml:space="preserve">Proposal </w:t>
      </w:r>
      <w:r w:rsidR="0033471F" w:rsidRPr="304352E5">
        <w:rPr>
          <w:b/>
          <w:bCs/>
        </w:rPr>
        <w:t>1</w:t>
      </w:r>
      <w:r w:rsidRPr="304352E5">
        <w:rPr>
          <w:b/>
          <w:bCs/>
        </w:rPr>
        <w:t xml:space="preserve">: Further </w:t>
      </w:r>
      <w:r w:rsidR="423DD46C" w:rsidRPr="304352E5">
        <w:rPr>
          <w:b/>
          <w:bCs/>
        </w:rPr>
        <w:t xml:space="preserve">discuss </w:t>
      </w:r>
      <w:r w:rsidR="0033471F" w:rsidRPr="304352E5">
        <w:rPr>
          <w:b/>
          <w:bCs/>
        </w:rPr>
        <w:t>typical number of elements for the targeted device form factors.</w:t>
      </w:r>
    </w:p>
    <w:p w14:paraId="4B1EFEA5" w14:textId="008551F5" w:rsidR="004A79D5" w:rsidRPr="007110AC" w:rsidRDefault="004A79D5" w:rsidP="004A79D5">
      <w:pPr>
        <w:pStyle w:val="Heading4"/>
      </w:pPr>
      <w:r>
        <w:rPr>
          <w:lang w:val="en-US"/>
        </w:rPr>
        <w:lastRenderedPageBreak/>
        <w:t xml:space="preserve">SEM </w:t>
      </w:r>
    </w:p>
    <w:p w14:paraId="1D04A90D" w14:textId="659AD871" w:rsidR="003F7563" w:rsidRDefault="004A79D5" w:rsidP="004A79D5">
      <w:r>
        <w:t xml:space="preserve">As mentioned in 2.1. practically achievable maximum transmit power for FR2-2 depends on a number of different requirements like the spectrum emission mask (SEM). </w:t>
      </w:r>
    </w:p>
    <w:p w14:paraId="24B4BB06" w14:textId="0E77BE7B" w:rsidR="004A79D5" w:rsidRDefault="004A79D5" w:rsidP="004A79D5">
      <w:r>
        <w:t xml:space="preserve">For the SEM for FR2-2 it has been proposed to use either the </w:t>
      </w:r>
      <w:r w:rsidRPr="004A79D5">
        <w:t>ETSI</w:t>
      </w:r>
      <w:r w:rsidR="00805572">
        <w:t xml:space="preserve"> TC</w:t>
      </w:r>
      <w:r w:rsidRPr="004A79D5">
        <w:t xml:space="preserve"> BRAN or FR2-1</w:t>
      </w:r>
      <w:r>
        <w:t xml:space="preserve"> mask. </w:t>
      </w:r>
      <w:bookmarkEnd w:id="2"/>
      <w:r>
        <w:t xml:space="preserve">Naturally the unwanted emissions for licensed operation should be aligned with regulatory requirements in the regions and can be further discussed when related regulatory requirements become available in the regions. For unlicensed operation similar to unlicensed operation in other frequency ranges it is suggested to leverage the </w:t>
      </w:r>
      <w:r w:rsidRPr="004A79D5">
        <w:t>ETSI EN 303 753 harmonized standard</w:t>
      </w:r>
      <w:r>
        <w:t xml:space="preserve"> </w:t>
      </w:r>
      <w:r w:rsidRPr="004A79D5">
        <w:t>[5]</w:t>
      </w:r>
      <w:r>
        <w:t xml:space="preserve">. </w:t>
      </w:r>
    </w:p>
    <w:p w14:paraId="441354AD" w14:textId="58A6A7CD" w:rsidR="00805572" w:rsidRDefault="00805572" w:rsidP="00805572">
      <w:pPr>
        <w:rPr>
          <w:b/>
          <w:bCs/>
        </w:rPr>
      </w:pPr>
      <w:r w:rsidRPr="00B4172D">
        <w:rPr>
          <w:b/>
          <w:bCs/>
        </w:rPr>
        <w:t xml:space="preserve">Observation </w:t>
      </w:r>
      <w:r>
        <w:rPr>
          <w:b/>
          <w:bCs/>
        </w:rPr>
        <w:t>2</w:t>
      </w:r>
      <w:r w:rsidRPr="00B4172D">
        <w:rPr>
          <w:b/>
          <w:bCs/>
        </w:rPr>
        <w:t>:</w:t>
      </w:r>
      <w:r>
        <w:rPr>
          <w:b/>
          <w:bCs/>
        </w:rPr>
        <w:t xml:space="preserve"> SEM for unlicensed operation in other frequency ranges is already leveraging the ETSI TC BRAN agreed mask. </w:t>
      </w:r>
    </w:p>
    <w:p w14:paraId="03EDFC73" w14:textId="3910C851" w:rsidR="004A79D5" w:rsidRDefault="00805572" w:rsidP="004A79D5">
      <w:r>
        <w:t>Considering the above and the fact that transmitter unwanted emissions for unlicensed operation by ETSI BRAN is considered in same man</w:t>
      </w:r>
      <w:r w:rsidR="02D43FD0">
        <w:t>ner</w:t>
      </w:r>
      <w:r>
        <w:t xml:space="preserve"> regardless of UE or BS the chosen SEM for FR2-2 should be aligned. This as a note to the parallel discussions in the BS agenda.</w:t>
      </w:r>
    </w:p>
    <w:p w14:paraId="1E61A68F" w14:textId="6B148958" w:rsidR="00805572" w:rsidRDefault="00805572" w:rsidP="00805572">
      <w:r>
        <w:rPr>
          <w:b/>
          <w:bCs/>
        </w:rPr>
        <w:t>Proposal 2: SEM for UE and BS shall be aligned</w:t>
      </w:r>
      <w:r w:rsidRPr="0033471F">
        <w:rPr>
          <w:b/>
          <w:bCs/>
        </w:rPr>
        <w:t>.</w:t>
      </w:r>
    </w:p>
    <w:p w14:paraId="13A2599B" w14:textId="79AA7081" w:rsidR="001E176C" w:rsidRDefault="0000683A" w:rsidP="001E176C">
      <w:pPr>
        <w:pStyle w:val="Heading4"/>
        <w:rPr>
          <w:lang w:val="en-US"/>
        </w:rPr>
      </w:pPr>
      <w:r w:rsidRPr="0000683A">
        <w:rPr>
          <w:lang w:val="en-US"/>
        </w:rPr>
        <w:t>Beam switching</w:t>
      </w:r>
    </w:p>
    <w:p w14:paraId="0AA3E4CE" w14:textId="287C3991" w:rsidR="00AF3E72" w:rsidRDefault="00736993" w:rsidP="00AF3E72">
      <w:pPr>
        <w:pStyle w:val="BodyText"/>
        <w:rPr>
          <w:lang w:val="en-US" w:eastAsia="zh-CN"/>
        </w:rPr>
      </w:pPr>
      <w:r>
        <w:rPr>
          <w:color w:val="000000" w:themeColor="text1"/>
          <w:lang w:val="en-US"/>
        </w:rPr>
        <w:t xml:space="preserve">At RAN4#99 </w:t>
      </w:r>
      <w:r w:rsidR="005A0ACF" w:rsidRPr="005A0ACF">
        <w:rPr>
          <w:color w:val="000000" w:themeColor="text1"/>
          <w:lang w:val="en-US"/>
        </w:rPr>
        <w:t xml:space="preserve">a LS </w:t>
      </w:r>
      <w:r>
        <w:rPr>
          <w:color w:val="000000" w:themeColor="text1"/>
          <w:lang w:val="en-US"/>
        </w:rPr>
        <w:t xml:space="preserve">response was send </w:t>
      </w:r>
      <w:r w:rsidR="005A0ACF" w:rsidRPr="005A0ACF">
        <w:rPr>
          <w:color w:val="000000" w:themeColor="text1"/>
          <w:lang w:val="en-US"/>
        </w:rPr>
        <w:t xml:space="preserve">to </w:t>
      </w:r>
      <w:r w:rsidRPr="005A0ACF">
        <w:rPr>
          <w:color w:val="000000" w:themeColor="text1"/>
          <w:lang w:val="en-US"/>
        </w:rPr>
        <w:t>RAN</w:t>
      </w:r>
      <w:r>
        <w:rPr>
          <w:color w:val="000000" w:themeColor="text1"/>
          <w:lang w:val="en-US"/>
        </w:rPr>
        <w:t>1</w:t>
      </w:r>
      <w:r w:rsidRPr="005A0ACF">
        <w:rPr>
          <w:color w:val="000000" w:themeColor="text1"/>
          <w:lang w:val="en-US"/>
        </w:rPr>
        <w:t xml:space="preserve"> </w:t>
      </w:r>
      <w:r w:rsidR="005A0ACF" w:rsidRPr="005A0ACF">
        <w:rPr>
          <w:color w:val="000000" w:themeColor="text1"/>
          <w:lang w:val="en-US"/>
        </w:rPr>
        <w:t>on switching times between beams and UL-DL direction [</w:t>
      </w:r>
      <w:r w:rsidR="00ED448C">
        <w:rPr>
          <w:color w:val="000000" w:themeColor="text1"/>
          <w:lang w:val="en-US"/>
        </w:rPr>
        <w:t>7</w:t>
      </w:r>
      <w:r w:rsidR="005A0ACF" w:rsidRPr="005A0ACF">
        <w:rPr>
          <w:color w:val="000000" w:themeColor="text1"/>
          <w:lang w:val="en-US"/>
        </w:rPr>
        <w:t xml:space="preserve">]. </w:t>
      </w:r>
      <w:r w:rsidR="00AF3E72">
        <w:rPr>
          <w:lang w:val="en-US" w:eastAsia="zh-CN"/>
        </w:rPr>
        <w:t>In the LS RAN1 asked</w:t>
      </w:r>
      <w:r w:rsidR="00805572">
        <w:rPr>
          <w:lang w:val="en-US" w:eastAsia="zh-CN"/>
        </w:rPr>
        <w:t>;</w:t>
      </w:r>
      <w:r w:rsidR="00AF3E72">
        <w:rPr>
          <w:lang w:val="en-US" w:eastAsia="zh-CN"/>
        </w:rPr>
        <w:t xml:space="preserve"> what </w:t>
      </w:r>
      <w:r w:rsidR="00805572">
        <w:rPr>
          <w:lang w:val="en-US" w:eastAsia="zh-CN"/>
        </w:rPr>
        <w:t>is the time</w:t>
      </w:r>
      <w:r w:rsidR="00AF3E72">
        <w:rPr>
          <w:lang w:val="en-US" w:eastAsia="zh-CN"/>
        </w:rPr>
        <w:t xml:space="preserve"> required for gNBs and UEs operating in 52.6 GHz to 71 GHz to perform the following operations:</w:t>
      </w:r>
    </w:p>
    <w:p w14:paraId="4C8D6736" w14:textId="48CC897F" w:rsidR="00AF3E72" w:rsidRPr="000A7129" w:rsidRDefault="00AF3E72" w:rsidP="000A7129">
      <w:pPr>
        <w:pStyle w:val="BodyText"/>
        <w:numPr>
          <w:ilvl w:val="0"/>
          <w:numId w:val="39"/>
        </w:numPr>
        <w:spacing w:after="60"/>
        <w:ind w:left="714" w:hanging="357"/>
        <w:rPr>
          <w:lang w:val="en-US" w:eastAsia="zh-CN"/>
        </w:rPr>
      </w:pPr>
      <w:r w:rsidRPr="000A7129">
        <w:rPr>
          <w:lang w:val="en-US" w:eastAsia="zh-CN"/>
        </w:rPr>
        <w:t>Switching Tx beams</w:t>
      </w:r>
    </w:p>
    <w:p w14:paraId="67BD5B2E" w14:textId="10B8E434" w:rsidR="00AF3E72" w:rsidRPr="000A7129" w:rsidRDefault="00AF3E72" w:rsidP="000A7129">
      <w:pPr>
        <w:pStyle w:val="BodyText"/>
        <w:numPr>
          <w:ilvl w:val="0"/>
          <w:numId w:val="39"/>
        </w:numPr>
        <w:spacing w:after="60"/>
        <w:ind w:left="714" w:hanging="357"/>
        <w:rPr>
          <w:lang w:val="en-US" w:eastAsia="zh-CN"/>
        </w:rPr>
      </w:pPr>
      <w:r w:rsidRPr="000A7129">
        <w:rPr>
          <w:lang w:val="en-US" w:eastAsia="zh-CN"/>
        </w:rPr>
        <w:t>Switching Rx beams</w:t>
      </w:r>
    </w:p>
    <w:p w14:paraId="665FE85F" w14:textId="77777777" w:rsidR="00AF3E72" w:rsidRPr="000A7129" w:rsidRDefault="00AF3E72" w:rsidP="000A7129">
      <w:pPr>
        <w:pStyle w:val="BodyText"/>
        <w:numPr>
          <w:ilvl w:val="0"/>
          <w:numId w:val="39"/>
        </w:numPr>
        <w:spacing w:after="60"/>
        <w:ind w:left="714" w:hanging="357"/>
        <w:rPr>
          <w:lang w:val="en-US" w:eastAsia="zh-CN"/>
        </w:rPr>
      </w:pPr>
      <w:r w:rsidRPr="000A7129">
        <w:rPr>
          <w:lang w:val="en-US" w:eastAsia="zh-CN"/>
        </w:rPr>
        <w:t>Switching from DL to UL</w:t>
      </w:r>
    </w:p>
    <w:p w14:paraId="08627D99" w14:textId="77777777" w:rsidR="00AF3E72" w:rsidRPr="000A7129" w:rsidRDefault="00AF3E72" w:rsidP="000A7129">
      <w:pPr>
        <w:pStyle w:val="BodyText"/>
        <w:numPr>
          <w:ilvl w:val="0"/>
          <w:numId w:val="39"/>
        </w:numPr>
        <w:ind w:left="714" w:hanging="357"/>
        <w:rPr>
          <w:lang w:val="en-US" w:eastAsia="zh-CN"/>
        </w:rPr>
      </w:pPr>
      <w:r w:rsidRPr="000A7129">
        <w:rPr>
          <w:lang w:val="en-US" w:eastAsia="zh-CN"/>
        </w:rPr>
        <w:t xml:space="preserve">Switching from UL to DL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8"/>
        <w:gridCol w:w="7187"/>
      </w:tblGrid>
      <w:tr w:rsidR="007854C7" w14:paraId="44BDF5E8" w14:textId="77777777" w:rsidTr="00591890">
        <w:trPr>
          <w:jc w:val="center"/>
        </w:trPr>
        <w:tc>
          <w:tcPr>
            <w:tcW w:w="2358" w:type="dxa"/>
            <w:shd w:val="clear" w:color="auto" w:fill="auto"/>
          </w:tcPr>
          <w:p w14:paraId="3BADDEF8" w14:textId="1947ED7A" w:rsidR="007854C7" w:rsidRPr="005C529F" w:rsidRDefault="007854C7" w:rsidP="00591890">
            <w:pPr>
              <w:pStyle w:val="TAH"/>
            </w:pPr>
            <w:r>
              <w:rPr>
                <w:lang w:val="en-US" w:eastAsia="zh-CN"/>
              </w:rPr>
              <w:t>The LS response is summaries in the table below:</w:t>
            </w:r>
            <w:r w:rsidRPr="005C529F">
              <w:t>Issue</w:t>
            </w:r>
          </w:p>
        </w:tc>
        <w:tc>
          <w:tcPr>
            <w:tcW w:w="7187" w:type="dxa"/>
            <w:shd w:val="clear" w:color="auto" w:fill="auto"/>
          </w:tcPr>
          <w:p w14:paraId="184FB420" w14:textId="77777777" w:rsidR="007854C7" w:rsidRPr="005C529F" w:rsidRDefault="007854C7" w:rsidP="00591890">
            <w:pPr>
              <w:pStyle w:val="TAH"/>
            </w:pPr>
            <w:r w:rsidRPr="005C529F">
              <w:t>Agreement</w:t>
            </w:r>
          </w:p>
        </w:tc>
      </w:tr>
      <w:tr w:rsidR="007854C7" w14:paraId="05AD568C" w14:textId="77777777" w:rsidTr="00591890">
        <w:trPr>
          <w:jc w:val="center"/>
        </w:trPr>
        <w:tc>
          <w:tcPr>
            <w:tcW w:w="2358" w:type="dxa"/>
            <w:shd w:val="clear" w:color="auto" w:fill="auto"/>
          </w:tcPr>
          <w:p w14:paraId="468FADA8" w14:textId="77777777" w:rsidR="007854C7" w:rsidRPr="005C529F" w:rsidRDefault="007854C7" w:rsidP="00591890">
            <w:pPr>
              <w:pStyle w:val="TAL"/>
            </w:pPr>
            <w:r w:rsidRPr="005C529F">
              <w:t>RX-TX and TX-RX beam switching</w:t>
            </w:r>
          </w:p>
        </w:tc>
        <w:tc>
          <w:tcPr>
            <w:tcW w:w="7187" w:type="dxa"/>
            <w:shd w:val="clear" w:color="auto" w:fill="auto"/>
          </w:tcPr>
          <w:p w14:paraId="1105E0D9" w14:textId="77777777" w:rsidR="007854C7" w:rsidRPr="00D72FFC" w:rsidRDefault="007854C7" w:rsidP="00591890">
            <w:pPr>
              <w:pStyle w:val="B1"/>
              <w:rPr>
                <w:sz w:val="18"/>
                <w:szCs w:val="18"/>
              </w:rPr>
            </w:pPr>
            <w:r w:rsidRPr="00D72FFC">
              <w:rPr>
                <w:sz w:val="18"/>
                <w:szCs w:val="18"/>
              </w:rPr>
              <w:t>-</w:t>
            </w:r>
            <w:r w:rsidRPr="00D72FFC">
              <w:rPr>
                <w:sz w:val="18"/>
                <w:szCs w:val="18"/>
              </w:rPr>
              <w:tab/>
              <w:t>For NR operation in the 52.6 – 71 GHz range, the Rx-Tx and Tx-Rx transition time shall reuse the FR2 value of 13792 Tc. (7.015 usec) for 120 kHz SCS</w:t>
            </w:r>
          </w:p>
          <w:p w14:paraId="298F9E01" w14:textId="77777777" w:rsidR="007854C7" w:rsidRPr="00D72FFC" w:rsidRDefault="007854C7" w:rsidP="00591890">
            <w:pPr>
              <w:pStyle w:val="B1"/>
              <w:rPr>
                <w:sz w:val="18"/>
                <w:szCs w:val="18"/>
              </w:rPr>
            </w:pPr>
            <w:r w:rsidRPr="00D72FFC">
              <w:rPr>
                <w:sz w:val="18"/>
                <w:szCs w:val="18"/>
              </w:rPr>
              <w:t>-</w:t>
            </w:r>
            <w:r w:rsidRPr="00D72FFC">
              <w:rPr>
                <w:sz w:val="18"/>
                <w:szCs w:val="18"/>
              </w:rPr>
              <w:tab/>
              <w:t>FFS for Rx-Tx and Tx-Rx transition time for 480/960 kHz SCS</w:t>
            </w:r>
          </w:p>
        </w:tc>
      </w:tr>
      <w:tr w:rsidR="007854C7" w14:paraId="5E33D708" w14:textId="77777777" w:rsidTr="00591890">
        <w:trPr>
          <w:jc w:val="center"/>
        </w:trPr>
        <w:tc>
          <w:tcPr>
            <w:tcW w:w="2358" w:type="dxa"/>
            <w:shd w:val="clear" w:color="auto" w:fill="auto"/>
          </w:tcPr>
          <w:p w14:paraId="65DDE597" w14:textId="77777777" w:rsidR="007854C7" w:rsidRPr="005C529F" w:rsidRDefault="007854C7" w:rsidP="00591890">
            <w:pPr>
              <w:pStyle w:val="TAL"/>
            </w:pPr>
            <w:r w:rsidRPr="005C529F">
              <w:t>Minimum duration between beam switches</w:t>
            </w:r>
          </w:p>
        </w:tc>
        <w:tc>
          <w:tcPr>
            <w:tcW w:w="7187" w:type="dxa"/>
            <w:shd w:val="clear" w:color="auto" w:fill="auto"/>
          </w:tcPr>
          <w:p w14:paraId="0CBDBC8F" w14:textId="77777777" w:rsidR="007854C7" w:rsidRDefault="007854C7" w:rsidP="00591890">
            <w:pPr>
              <w:pStyle w:val="B1"/>
              <w:rPr>
                <w:sz w:val="18"/>
                <w:szCs w:val="18"/>
              </w:rPr>
            </w:pPr>
            <w:r w:rsidRPr="00D72FFC">
              <w:rPr>
                <w:sz w:val="18"/>
                <w:szCs w:val="18"/>
              </w:rPr>
              <w:t>-</w:t>
            </w:r>
            <w:r w:rsidRPr="00D72FFC">
              <w:rPr>
                <w:sz w:val="18"/>
                <w:szCs w:val="18"/>
              </w:rPr>
              <w:tab/>
              <w:t>RAN4 will further discuss</w:t>
            </w:r>
            <w:r>
              <w:rPr>
                <w:sz w:val="18"/>
                <w:szCs w:val="18"/>
              </w:rPr>
              <w:t xml:space="preserve"> the d</w:t>
            </w:r>
            <w:r w:rsidRPr="005C00EF">
              <w:rPr>
                <w:sz w:val="18"/>
                <w:szCs w:val="18"/>
              </w:rPr>
              <w:t>efinition of beam switch scenario(s) related to this proposed requirement</w:t>
            </w:r>
            <w:r>
              <w:rPr>
                <w:sz w:val="18"/>
                <w:szCs w:val="18"/>
              </w:rPr>
              <w:t xml:space="preserve"> and w</w:t>
            </w:r>
            <w:r w:rsidRPr="005C00EF">
              <w:rPr>
                <w:sz w:val="18"/>
                <w:szCs w:val="18"/>
              </w:rPr>
              <w:t>hether a requirement on the minimum duration between beam switches is neede</w:t>
            </w:r>
            <w:r>
              <w:rPr>
                <w:sz w:val="18"/>
                <w:szCs w:val="18"/>
              </w:rPr>
              <w:t>d</w:t>
            </w:r>
          </w:p>
          <w:p w14:paraId="65F7603C" w14:textId="77777777" w:rsidR="007854C7" w:rsidRPr="00D72FFC" w:rsidRDefault="007854C7" w:rsidP="00591890">
            <w:pPr>
              <w:pStyle w:val="B1"/>
              <w:rPr>
                <w:sz w:val="18"/>
                <w:szCs w:val="18"/>
              </w:rPr>
            </w:pPr>
            <w:r>
              <w:rPr>
                <w:sz w:val="18"/>
                <w:szCs w:val="18"/>
              </w:rPr>
              <w:t>-</w:t>
            </w:r>
            <w:r>
              <w:rPr>
                <w:sz w:val="18"/>
                <w:szCs w:val="18"/>
              </w:rPr>
              <w:tab/>
            </w:r>
            <w:r w:rsidRPr="005C00EF">
              <w:rPr>
                <w:sz w:val="18"/>
                <w:szCs w:val="18"/>
              </w:rPr>
              <w:t xml:space="preserve">If the requirement is needed, then </w:t>
            </w:r>
            <w:r>
              <w:rPr>
                <w:sz w:val="18"/>
                <w:szCs w:val="18"/>
              </w:rPr>
              <w:t xml:space="preserve">RAN4 will further discuss </w:t>
            </w:r>
            <w:r w:rsidRPr="005C00EF">
              <w:rPr>
                <w:sz w:val="18"/>
                <w:szCs w:val="18"/>
              </w:rPr>
              <w:t>how to decide the value</w:t>
            </w:r>
          </w:p>
        </w:tc>
      </w:tr>
      <w:tr w:rsidR="007854C7" w14:paraId="79E76EBD" w14:textId="77777777" w:rsidTr="00591890">
        <w:trPr>
          <w:jc w:val="center"/>
        </w:trPr>
        <w:tc>
          <w:tcPr>
            <w:tcW w:w="2358" w:type="dxa"/>
            <w:shd w:val="clear" w:color="auto" w:fill="auto"/>
          </w:tcPr>
          <w:p w14:paraId="05CD23B4" w14:textId="77777777" w:rsidR="007854C7" w:rsidRPr="005C529F" w:rsidRDefault="007854C7" w:rsidP="00591890">
            <w:pPr>
              <w:pStyle w:val="TAL"/>
            </w:pPr>
            <w:r w:rsidRPr="005C529F">
              <w:t>UE Beam switch time (beam direction switch only)</w:t>
            </w:r>
          </w:p>
        </w:tc>
        <w:tc>
          <w:tcPr>
            <w:tcW w:w="7187" w:type="dxa"/>
            <w:shd w:val="clear" w:color="auto" w:fill="auto"/>
          </w:tcPr>
          <w:p w14:paraId="29DF630B" w14:textId="77777777" w:rsidR="007854C7" w:rsidRPr="00D72FFC" w:rsidRDefault="007854C7" w:rsidP="00591890">
            <w:pPr>
              <w:pStyle w:val="B1"/>
              <w:rPr>
                <w:sz w:val="18"/>
                <w:szCs w:val="18"/>
              </w:rPr>
            </w:pPr>
            <w:r w:rsidRPr="00D72FFC">
              <w:rPr>
                <w:sz w:val="18"/>
                <w:szCs w:val="18"/>
              </w:rPr>
              <w:t>-</w:t>
            </w:r>
            <w:r w:rsidRPr="00D72FFC">
              <w:rPr>
                <w:sz w:val="18"/>
                <w:szCs w:val="18"/>
              </w:rPr>
              <w:tab/>
              <w:t>RAN4 will further discuss</w:t>
            </w:r>
            <w:r>
              <w:rPr>
                <w:sz w:val="18"/>
                <w:szCs w:val="18"/>
              </w:rPr>
              <w:t xml:space="preserve"> based on the following alternatives: (1) simulation study to q</w:t>
            </w:r>
            <w:r w:rsidRPr="005C00EF">
              <w:rPr>
                <w:sz w:val="18"/>
                <w:szCs w:val="18"/>
              </w:rPr>
              <w:t>uantify impact of beam switch time on</w:t>
            </w:r>
            <w:r>
              <w:rPr>
                <w:sz w:val="18"/>
                <w:szCs w:val="18"/>
              </w:rPr>
              <w:t xml:space="preserve"> </w:t>
            </w:r>
            <w:r w:rsidRPr="005C00EF">
              <w:rPr>
                <w:sz w:val="18"/>
                <w:szCs w:val="18"/>
              </w:rPr>
              <w:t>network performance</w:t>
            </w:r>
            <w:r>
              <w:rPr>
                <w:sz w:val="18"/>
                <w:szCs w:val="18"/>
              </w:rPr>
              <w:t xml:space="preserve">, (2) further discussion of UE feasibility, (3) </w:t>
            </w:r>
            <w:r w:rsidRPr="005C00EF">
              <w:rPr>
                <w:sz w:val="18"/>
                <w:szCs w:val="18"/>
              </w:rPr>
              <w:t>analysis of the system impact (by some other means than sim study)</w:t>
            </w:r>
          </w:p>
        </w:tc>
      </w:tr>
      <w:tr w:rsidR="007854C7" w14:paraId="22BFA7A0" w14:textId="77777777" w:rsidTr="00591890">
        <w:trPr>
          <w:jc w:val="center"/>
        </w:trPr>
        <w:tc>
          <w:tcPr>
            <w:tcW w:w="2358" w:type="dxa"/>
            <w:shd w:val="clear" w:color="auto" w:fill="auto"/>
          </w:tcPr>
          <w:p w14:paraId="3E904F62" w14:textId="77777777" w:rsidR="007854C7" w:rsidRPr="005C529F" w:rsidRDefault="007854C7" w:rsidP="00591890">
            <w:pPr>
              <w:pStyle w:val="TAL"/>
            </w:pPr>
            <w:r w:rsidRPr="005C529F">
              <w:t>UE Inter-panel Beam switch time (beam direction switch only)</w:t>
            </w:r>
          </w:p>
        </w:tc>
        <w:tc>
          <w:tcPr>
            <w:tcW w:w="7187" w:type="dxa"/>
            <w:shd w:val="clear" w:color="auto" w:fill="auto"/>
          </w:tcPr>
          <w:p w14:paraId="41422CDB" w14:textId="77777777" w:rsidR="007854C7" w:rsidRPr="00D72FFC" w:rsidRDefault="007854C7" w:rsidP="00591890">
            <w:pPr>
              <w:pStyle w:val="B1"/>
              <w:rPr>
                <w:sz w:val="18"/>
                <w:szCs w:val="18"/>
              </w:rPr>
            </w:pPr>
            <w:r w:rsidRPr="00D72FFC">
              <w:rPr>
                <w:sz w:val="18"/>
                <w:szCs w:val="18"/>
              </w:rPr>
              <w:t>-</w:t>
            </w:r>
            <w:r w:rsidRPr="00D72FFC">
              <w:rPr>
                <w:sz w:val="18"/>
                <w:szCs w:val="18"/>
              </w:rPr>
              <w:tab/>
              <w:t xml:space="preserve">Depends on conclusion of the intra-panel beam switch time and </w:t>
            </w:r>
            <w:r w:rsidRPr="005C00EF">
              <w:rPr>
                <w:sz w:val="18"/>
                <w:szCs w:val="18"/>
              </w:rPr>
              <w:t>analysis of delays in addition to intra-panel, if any, associated with inter-panel beam switch time</w:t>
            </w:r>
          </w:p>
        </w:tc>
      </w:tr>
      <w:tr w:rsidR="007854C7" w14:paraId="09AA2134" w14:textId="77777777" w:rsidTr="00591890">
        <w:trPr>
          <w:jc w:val="center"/>
        </w:trPr>
        <w:tc>
          <w:tcPr>
            <w:tcW w:w="2358" w:type="dxa"/>
            <w:shd w:val="clear" w:color="auto" w:fill="auto"/>
          </w:tcPr>
          <w:p w14:paraId="2D8E6557" w14:textId="77777777" w:rsidR="007854C7" w:rsidRPr="005C529F" w:rsidRDefault="007854C7" w:rsidP="00591890">
            <w:pPr>
              <w:pStyle w:val="TAL"/>
            </w:pPr>
            <w:r w:rsidRPr="005C529F">
              <w:t>gNB Beam switch time (beam direction switch only)</w:t>
            </w:r>
          </w:p>
        </w:tc>
        <w:tc>
          <w:tcPr>
            <w:tcW w:w="7187" w:type="dxa"/>
            <w:shd w:val="clear" w:color="auto" w:fill="auto"/>
          </w:tcPr>
          <w:p w14:paraId="4AD287A2" w14:textId="55ACE616" w:rsidR="007854C7" w:rsidRPr="005C00EF" w:rsidRDefault="007854C7" w:rsidP="00591890">
            <w:pPr>
              <w:pStyle w:val="B1"/>
              <w:rPr>
                <w:sz w:val="18"/>
                <w:szCs w:val="18"/>
              </w:rPr>
            </w:pPr>
            <w:r>
              <w:rPr>
                <w:sz w:val="18"/>
                <w:szCs w:val="18"/>
              </w:rPr>
              <w:t>-</w:t>
            </w:r>
            <w:r>
              <w:rPr>
                <w:sz w:val="18"/>
                <w:szCs w:val="18"/>
              </w:rPr>
              <w:tab/>
              <w:t>R</w:t>
            </w:r>
            <w:r w:rsidRPr="005C00EF">
              <w:rPr>
                <w:sz w:val="18"/>
                <w:szCs w:val="18"/>
              </w:rPr>
              <w:t>AN4 tentatively agrees [5</w:t>
            </w:r>
            <w:r w:rsidR="00A63C0C">
              <w:rPr>
                <w:sz w:val="18"/>
                <w:szCs w:val="18"/>
              </w:rPr>
              <w:t>0</w:t>
            </w:r>
            <w:r w:rsidRPr="005C00EF">
              <w:rPr>
                <w:sz w:val="18"/>
                <w:szCs w:val="18"/>
              </w:rPr>
              <w:t xml:space="preserve"> ns] with the understanding that the value can be confirmed once open issues related to BS output power are resolved</w:t>
            </w:r>
          </w:p>
        </w:tc>
      </w:tr>
      <w:tr w:rsidR="007854C7" w14:paraId="4280698B" w14:textId="77777777" w:rsidTr="00591890">
        <w:trPr>
          <w:jc w:val="center"/>
        </w:trPr>
        <w:tc>
          <w:tcPr>
            <w:tcW w:w="2358" w:type="dxa"/>
            <w:shd w:val="clear" w:color="auto" w:fill="auto"/>
          </w:tcPr>
          <w:p w14:paraId="5EC88914" w14:textId="77777777" w:rsidR="007854C7" w:rsidRPr="005C529F" w:rsidRDefault="007854C7" w:rsidP="00591890">
            <w:pPr>
              <w:pStyle w:val="TAL"/>
            </w:pPr>
            <w:r w:rsidRPr="005C529F">
              <w:t>TX ON-ON and TX ON-OFF transient period</w:t>
            </w:r>
          </w:p>
        </w:tc>
        <w:tc>
          <w:tcPr>
            <w:tcW w:w="7187" w:type="dxa"/>
            <w:shd w:val="clear" w:color="auto" w:fill="auto"/>
          </w:tcPr>
          <w:p w14:paraId="4E3F9F27" w14:textId="77777777" w:rsidR="007854C7" w:rsidRPr="005C00EF" w:rsidRDefault="007854C7" w:rsidP="00591890">
            <w:pPr>
              <w:pStyle w:val="B1"/>
              <w:rPr>
                <w:rFonts w:cs="Arial"/>
                <w:sz w:val="18"/>
                <w:szCs w:val="18"/>
              </w:rPr>
            </w:pPr>
            <w:r>
              <w:rPr>
                <w:rFonts w:cs="Arial"/>
                <w:sz w:val="18"/>
                <w:szCs w:val="18"/>
              </w:rPr>
              <w:t>-</w:t>
            </w:r>
            <w:r>
              <w:rPr>
                <w:rFonts w:cs="Arial"/>
                <w:sz w:val="18"/>
                <w:szCs w:val="18"/>
              </w:rPr>
              <w:tab/>
            </w:r>
            <w:r w:rsidRPr="005C00EF">
              <w:rPr>
                <w:rFonts w:cs="Arial"/>
                <w:sz w:val="18"/>
                <w:szCs w:val="18"/>
              </w:rPr>
              <w:t>Re-use UE transient time from current FR2 for 120 kHz SCS</w:t>
            </w:r>
          </w:p>
          <w:p w14:paraId="79C981AB" w14:textId="77777777" w:rsidR="007854C7" w:rsidRPr="00D72FFC" w:rsidRDefault="007854C7" w:rsidP="00591890">
            <w:pPr>
              <w:pStyle w:val="B1"/>
              <w:rPr>
                <w:sz w:val="18"/>
              </w:rPr>
            </w:pPr>
            <w:r>
              <w:rPr>
                <w:rFonts w:cs="Arial"/>
                <w:sz w:val="18"/>
                <w:szCs w:val="18"/>
              </w:rPr>
              <w:t>-</w:t>
            </w:r>
            <w:r>
              <w:rPr>
                <w:rFonts w:cs="Arial"/>
                <w:sz w:val="18"/>
                <w:szCs w:val="18"/>
              </w:rPr>
              <w:tab/>
            </w:r>
            <w:r w:rsidRPr="005C00EF">
              <w:rPr>
                <w:rFonts w:cs="Arial"/>
                <w:sz w:val="18"/>
                <w:szCs w:val="18"/>
              </w:rPr>
              <w:t>FFS on UE transient time for 480/960 kHz SCS</w:t>
            </w:r>
          </w:p>
        </w:tc>
      </w:tr>
    </w:tbl>
    <w:p w14:paraId="2D0566D3" w14:textId="0591C0B4" w:rsidR="00113521" w:rsidRDefault="00113521" w:rsidP="00113521">
      <w:pPr>
        <w:pStyle w:val="Heading5"/>
        <w:numPr>
          <w:ilvl w:val="1"/>
          <w:numId w:val="0"/>
        </w:numPr>
        <w:ind w:left="1701" w:hanging="1701"/>
        <w:rPr>
          <w:lang w:val="en-US"/>
        </w:rPr>
      </w:pPr>
      <w:bookmarkStart w:id="3" w:name="_Hlk67567722"/>
      <w:r>
        <w:rPr>
          <w:lang w:val="en-US"/>
        </w:rPr>
        <w:t>B</w:t>
      </w:r>
      <w:r w:rsidRPr="278792E6">
        <w:rPr>
          <w:lang w:val="en-US"/>
        </w:rPr>
        <w:t xml:space="preserve">eam </w:t>
      </w:r>
      <w:r>
        <w:rPr>
          <w:lang w:val="en-US"/>
        </w:rPr>
        <w:t xml:space="preserve">direction </w:t>
      </w:r>
      <w:r w:rsidRPr="278792E6">
        <w:rPr>
          <w:lang w:val="en-US"/>
        </w:rPr>
        <w:t xml:space="preserve">switching </w:t>
      </w:r>
      <w:r>
        <w:rPr>
          <w:lang w:val="en-US"/>
        </w:rPr>
        <w:t>time</w:t>
      </w:r>
    </w:p>
    <w:p w14:paraId="63C12DEB" w14:textId="1A192914" w:rsidR="00603D19" w:rsidRPr="00496F6A" w:rsidRDefault="00603D19" w:rsidP="00603D19">
      <w:pPr>
        <w:pStyle w:val="BodyText"/>
        <w:rPr>
          <w:lang w:val="en-US"/>
        </w:rPr>
      </w:pPr>
      <w:r w:rsidRPr="1E8A2BE0">
        <w:rPr>
          <w:lang w:val="en-US"/>
        </w:rPr>
        <w:t xml:space="preserve">When it comes to switching times inside a UE, the device dimensions are noticeably smaller than for base stations. This provides opportunities lower inaccuracies than in gNBs. Additionally, UE transmission power levels are significantly lower than for gNBs, resulting in easier handling of transient events during the beam switch. On the other hand, UE </w:t>
      </w:r>
      <w:r w:rsidRPr="1E8A2BE0">
        <w:rPr>
          <w:lang w:val="en-US"/>
        </w:rPr>
        <w:lastRenderedPageBreak/>
        <w:t>component selection may need to consider more cost and efficiency considerations compared to gNBs.</w:t>
      </w:r>
      <w:r w:rsidR="00092072">
        <w:rPr>
          <w:lang w:val="en-US"/>
        </w:rPr>
        <w:t xml:space="preserve"> </w:t>
      </w:r>
      <w:r w:rsidRPr="1E8A2BE0">
        <w:rPr>
          <w:lang w:val="en-US"/>
        </w:rPr>
        <w:t xml:space="preserve">Considering </w:t>
      </w:r>
      <w:r w:rsidR="00113521">
        <w:rPr>
          <w:lang w:val="en-US"/>
        </w:rPr>
        <w:t>both</w:t>
      </w:r>
      <w:r w:rsidR="00A63C0C">
        <w:rPr>
          <w:lang w:val="en-US"/>
        </w:rPr>
        <w:t>,</w:t>
      </w:r>
      <w:r w:rsidR="00113521">
        <w:rPr>
          <w:lang w:val="en-US"/>
        </w:rPr>
        <w:t xml:space="preserve"> a baseline </w:t>
      </w:r>
      <w:r w:rsidR="00092072">
        <w:rPr>
          <w:lang w:val="en-US"/>
        </w:rPr>
        <w:t xml:space="preserve">for </w:t>
      </w:r>
      <w:r w:rsidR="00092072" w:rsidRPr="00092072">
        <w:rPr>
          <w:lang w:val="en-US"/>
        </w:rPr>
        <w:t xml:space="preserve">beam direction-only switching time for FR2-2 </w:t>
      </w:r>
      <w:r w:rsidR="00092072">
        <w:rPr>
          <w:lang w:val="en-US"/>
        </w:rPr>
        <w:t>of</w:t>
      </w:r>
      <w:r w:rsidR="00113521">
        <w:rPr>
          <w:lang w:val="en-US"/>
        </w:rPr>
        <w:t xml:space="preserve"> 50ns is proposed</w:t>
      </w:r>
      <w:r>
        <w:rPr>
          <w:lang w:val="en-US"/>
        </w:rPr>
        <w:t>.</w:t>
      </w:r>
    </w:p>
    <w:p w14:paraId="030968B0" w14:textId="0327BD2A" w:rsidR="002960B6" w:rsidRPr="00E96EDC" w:rsidRDefault="002960B6" w:rsidP="002960B6">
      <w:pPr>
        <w:pStyle w:val="BodyText"/>
        <w:rPr>
          <w:b/>
          <w:bCs/>
          <w:lang w:val="en-US"/>
        </w:rPr>
      </w:pPr>
      <w:r w:rsidRPr="278792E6">
        <w:rPr>
          <w:b/>
          <w:bCs/>
          <w:lang w:val="en-US"/>
        </w:rPr>
        <w:t xml:space="preserve">Proposal </w:t>
      </w:r>
      <w:r w:rsidR="008207B0">
        <w:rPr>
          <w:b/>
          <w:bCs/>
          <w:lang w:val="en-US"/>
        </w:rPr>
        <w:t>3</w:t>
      </w:r>
      <w:r w:rsidRPr="278792E6">
        <w:rPr>
          <w:b/>
          <w:bCs/>
          <w:lang w:val="en-US"/>
        </w:rPr>
        <w:t xml:space="preserve">: </w:t>
      </w:r>
      <w:r w:rsidR="00113521">
        <w:rPr>
          <w:b/>
          <w:bCs/>
          <w:lang w:val="en-US"/>
        </w:rPr>
        <w:t xml:space="preserve">Use a </w:t>
      </w:r>
      <w:r w:rsidR="00092072">
        <w:rPr>
          <w:b/>
          <w:bCs/>
          <w:lang w:val="en-US"/>
        </w:rPr>
        <w:t xml:space="preserve">UE </w:t>
      </w:r>
      <w:r w:rsidR="00113521">
        <w:rPr>
          <w:b/>
          <w:bCs/>
          <w:lang w:val="en-US"/>
        </w:rPr>
        <w:t>b</w:t>
      </w:r>
      <w:r w:rsidR="00113521" w:rsidRPr="00113521">
        <w:rPr>
          <w:b/>
          <w:bCs/>
          <w:lang w:val="en-US"/>
        </w:rPr>
        <w:t>eam direction switching time</w:t>
      </w:r>
      <w:r w:rsidR="00113521">
        <w:rPr>
          <w:b/>
          <w:bCs/>
          <w:lang w:val="en-US"/>
        </w:rPr>
        <w:t xml:space="preserve"> of 50 ns</w:t>
      </w:r>
      <w:r w:rsidRPr="278792E6">
        <w:rPr>
          <w:b/>
          <w:bCs/>
          <w:lang w:val="en-US"/>
        </w:rPr>
        <w:t>.</w:t>
      </w:r>
    </w:p>
    <w:bookmarkEnd w:id="3"/>
    <w:p w14:paraId="4F300BCC" w14:textId="77777777" w:rsidR="000F63E2" w:rsidRDefault="000F63E2" w:rsidP="000F63E2">
      <w:pPr>
        <w:pStyle w:val="Heading1"/>
        <w:numPr>
          <w:ilvl w:val="0"/>
          <w:numId w:val="19"/>
        </w:numPr>
        <w:rPr>
          <w:lang w:val="en-US"/>
        </w:rPr>
      </w:pPr>
      <w:r>
        <w:rPr>
          <w:lang w:val="en-US"/>
        </w:rPr>
        <w:t>Conclusion</w:t>
      </w:r>
    </w:p>
    <w:p w14:paraId="014171D9" w14:textId="75DE4825" w:rsidR="000F63E2" w:rsidRDefault="000F63E2" w:rsidP="000F63E2">
      <w:r w:rsidRPr="00F50CA4">
        <w:rPr>
          <w:lang w:val="en-US"/>
        </w:rPr>
        <w:t>In t</w:t>
      </w:r>
      <w:r w:rsidRPr="00F50CA4">
        <w:t>his contribution, we discuss</w:t>
      </w:r>
      <w:r>
        <w:t xml:space="preserve"> </w:t>
      </w:r>
      <w:r w:rsidR="00B519F6" w:rsidRPr="00B519F6">
        <w:t>UE Tx RF aspects for a NR band in the range 52.6GHz – 71GHz</w:t>
      </w:r>
      <w:r>
        <w:t>. We</w:t>
      </w:r>
      <w:r w:rsidRPr="00F50CA4">
        <w:t xml:space="preserve"> ha</w:t>
      </w:r>
      <w:r>
        <w:t xml:space="preserve">ve made following </w:t>
      </w:r>
      <w:r w:rsidR="00380CBE">
        <w:t xml:space="preserve">observations and </w:t>
      </w:r>
      <w:r>
        <w:t>proposals:</w:t>
      </w:r>
    </w:p>
    <w:p w14:paraId="042F03F9" w14:textId="2213C9D6" w:rsidR="007C3143" w:rsidRDefault="007C3143" w:rsidP="007C3143">
      <w:pPr>
        <w:rPr>
          <w:b/>
          <w:bCs/>
        </w:rPr>
      </w:pPr>
      <w:r w:rsidRPr="00B4172D">
        <w:rPr>
          <w:b/>
          <w:bCs/>
        </w:rPr>
        <w:t xml:space="preserve">Observation </w:t>
      </w:r>
      <w:r>
        <w:rPr>
          <w:b/>
          <w:bCs/>
        </w:rPr>
        <w:t>1</w:t>
      </w:r>
      <w:r w:rsidRPr="00B4172D">
        <w:rPr>
          <w:b/>
          <w:bCs/>
        </w:rPr>
        <w:t>:</w:t>
      </w:r>
      <w:r>
        <w:rPr>
          <w:b/>
          <w:bCs/>
        </w:rPr>
        <w:t xml:space="preserve"> Implementation losses need special attention to guarantee high EIRP output and therefore good UL link budget. </w:t>
      </w:r>
    </w:p>
    <w:p w14:paraId="779DC8CF" w14:textId="77777777" w:rsidR="007C3143" w:rsidRDefault="007C3143" w:rsidP="007C3143">
      <w:pPr>
        <w:rPr>
          <w:b/>
          <w:bCs/>
        </w:rPr>
      </w:pPr>
      <w:r w:rsidRPr="00B4172D">
        <w:rPr>
          <w:b/>
          <w:bCs/>
        </w:rPr>
        <w:t xml:space="preserve">Observation </w:t>
      </w:r>
      <w:r>
        <w:rPr>
          <w:b/>
          <w:bCs/>
        </w:rPr>
        <w:t>2</w:t>
      </w:r>
      <w:r w:rsidRPr="00B4172D">
        <w:rPr>
          <w:b/>
          <w:bCs/>
        </w:rPr>
        <w:t>:</w:t>
      </w:r>
      <w:r>
        <w:rPr>
          <w:b/>
          <w:bCs/>
        </w:rPr>
        <w:t xml:space="preserve"> </w:t>
      </w:r>
      <w:r w:rsidRPr="0033471F">
        <w:rPr>
          <w:b/>
          <w:bCs/>
        </w:rPr>
        <w:t>UE maximum output power limits</w:t>
      </w:r>
      <w:r>
        <w:rPr>
          <w:b/>
          <w:bCs/>
        </w:rPr>
        <w:t xml:space="preserve"> considered agrees well with </w:t>
      </w:r>
      <w:r w:rsidRPr="004A79D5">
        <w:rPr>
          <w:b/>
          <w:bCs/>
        </w:rPr>
        <w:t>regulatory requirements</w:t>
      </w:r>
      <w:r>
        <w:rPr>
          <w:b/>
          <w:bCs/>
        </w:rPr>
        <w:t xml:space="preserve">. </w:t>
      </w:r>
    </w:p>
    <w:p w14:paraId="212028A7" w14:textId="77777777" w:rsidR="007C3143" w:rsidRDefault="007C3143" w:rsidP="007C3143">
      <w:r w:rsidRPr="304352E5">
        <w:rPr>
          <w:b/>
          <w:bCs/>
        </w:rPr>
        <w:t>Proposal 1: Further discuss typical number of elements for the targeted device form factors.</w:t>
      </w:r>
    </w:p>
    <w:p w14:paraId="2A5549AA" w14:textId="77777777" w:rsidR="007C3143" w:rsidRDefault="007C3143" w:rsidP="007C3143">
      <w:pPr>
        <w:rPr>
          <w:b/>
          <w:bCs/>
        </w:rPr>
      </w:pPr>
      <w:r w:rsidRPr="00B4172D">
        <w:rPr>
          <w:b/>
          <w:bCs/>
        </w:rPr>
        <w:t xml:space="preserve">Observation </w:t>
      </w:r>
      <w:r>
        <w:rPr>
          <w:b/>
          <w:bCs/>
        </w:rPr>
        <w:t>2</w:t>
      </w:r>
      <w:r w:rsidRPr="00B4172D">
        <w:rPr>
          <w:b/>
          <w:bCs/>
        </w:rPr>
        <w:t>:</w:t>
      </w:r>
      <w:r>
        <w:rPr>
          <w:b/>
          <w:bCs/>
        </w:rPr>
        <w:t xml:space="preserve"> SEM for unlicensed operation in other frequency ranges is already leveraging the ETSI TC BRAN agreed mask. </w:t>
      </w:r>
    </w:p>
    <w:p w14:paraId="522F0369" w14:textId="77777777" w:rsidR="007C3143" w:rsidRDefault="007C3143" w:rsidP="007C3143">
      <w:r>
        <w:rPr>
          <w:b/>
          <w:bCs/>
        </w:rPr>
        <w:t>Proposal 2: SEM for UE and BS shall be aligned</w:t>
      </w:r>
      <w:r w:rsidRPr="0033471F">
        <w:rPr>
          <w:b/>
          <w:bCs/>
        </w:rPr>
        <w:t>.</w:t>
      </w:r>
    </w:p>
    <w:p w14:paraId="3FD302EE" w14:textId="77777777" w:rsidR="00904C26" w:rsidRDefault="00904C26" w:rsidP="00904C26">
      <w:pPr>
        <w:pStyle w:val="Heading1"/>
        <w:ind w:left="0" w:firstLine="0"/>
        <w:rPr>
          <w:lang w:val="en-US"/>
        </w:rPr>
      </w:pPr>
      <w:r w:rsidRPr="00A51BCB">
        <w:rPr>
          <w:lang w:val="en-US"/>
        </w:rPr>
        <w:t>References</w:t>
      </w:r>
    </w:p>
    <w:p w14:paraId="17650D8C" w14:textId="49758B02" w:rsidR="00CF522F" w:rsidRDefault="004C489F" w:rsidP="00286502">
      <w:pPr>
        <w:pStyle w:val="ListParagraph"/>
        <w:numPr>
          <w:ilvl w:val="0"/>
          <w:numId w:val="14"/>
        </w:numPr>
        <w:overflowPunct/>
        <w:autoSpaceDE/>
        <w:autoSpaceDN/>
        <w:adjustRightInd/>
        <w:spacing w:after="0" w:line="259" w:lineRule="auto"/>
        <w:textAlignment w:val="auto"/>
        <w:rPr>
          <w:lang w:val="en-US"/>
        </w:rPr>
      </w:pPr>
      <w:bookmarkStart w:id="4" w:name="_Ref31097951"/>
      <w:r w:rsidRPr="004C489F">
        <w:rPr>
          <w:lang w:val="en-US" w:eastAsia="zh-CN"/>
        </w:rPr>
        <w:t>RP-211584</w:t>
      </w:r>
      <w:r w:rsidR="00CF522F" w:rsidRPr="00D24498">
        <w:rPr>
          <w:lang w:val="en-US" w:eastAsia="zh-CN"/>
        </w:rPr>
        <w:t>, Revised WID on Extending current NR operation to 71GHz</w:t>
      </w:r>
      <w:r w:rsidR="00CF522F" w:rsidRPr="00B53A40">
        <w:rPr>
          <w:lang w:val="en-US"/>
        </w:rPr>
        <w:t xml:space="preserve"> </w:t>
      </w:r>
    </w:p>
    <w:p w14:paraId="1EDF619D" w14:textId="6F43CEE5" w:rsidR="00286502" w:rsidRPr="00286502" w:rsidRDefault="00286502" w:rsidP="00286502">
      <w:pPr>
        <w:pStyle w:val="ListParagraph"/>
        <w:numPr>
          <w:ilvl w:val="0"/>
          <w:numId w:val="14"/>
        </w:numPr>
        <w:overflowPunct/>
        <w:autoSpaceDE/>
        <w:autoSpaceDN/>
        <w:adjustRightInd/>
        <w:spacing w:after="0" w:line="259" w:lineRule="auto"/>
        <w:textAlignment w:val="auto"/>
        <w:rPr>
          <w:lang w:val="en-US"/>
        </w:rPr>
      </w:pPr>
      <w:r w:rsidRPr="00B53A40">
        <w:rPr>
          <w:lang w:val="en-US"/>
        </w:rPr>
        <w:t>TR 38.807, “</w:t>
      </w:r>
      <w:r w:rsidRPr="00B53A40">
        <w:rPr>
          <w:i/>
          <w:iCs/>
          <w:lang w:val="en-US"/>
        </w:rPr>
        <w:t>Study on requirements for NR beyond 52.6 GHz</w:t>
      </w:r>
      <w:r w:rsidRPr="00B53A40">
        <w:rPr>
          <w:lang w:val="en-US"/>
        </w:rPr>
        <w:t>”, 3GPP</w:t>
      </w:r>
      <w:bookmarkEnd w:id="4"/>
    </w:p>
    <w:p w14:paraId="16F902DC" w14:textId="23C1CA0C" w:rsidR="00050114" w:rsidRDefault="00050114" w:rsidP="00050114">
      <w:pPr>
        <w:pStyle w:val="ListParagraph"/>
        <w:numPr>
          <w:ilvl w:val="0"/>
          <w:numId w:val="14"/>
        </w:numPr>
        <w:overflowPunct/>
        <w:autoSpaceDE/>
        <w:autoSpaceDN/>
        <w:adjustRightInd/>
        <w:spacing w:after="0" w:line="259" w:lineRule="auto"/>
        <w:textAlignment w:val="auto"/>
        <w:rPr>
          <w:lang w:val="en-US"/>
        </w:rPr>
      </w:pPr>
      <w:r>
        <w:rPr>
          <w:lang w:val="en-US"/>
        </w:rPr>
        <w:t>R4-2015444, “</w:t>
      </w:r>
      <w:r w:rsidRPr="00A93208">
        <w:rPr>
          <w:i/>
          <w:iCs/>
          <w:lang w:val="en-US"/>
        </w:rPr>
        <w:t>UE RF for NR beyond 52.6 GHz</w:t>
      </w:r>
      <w:r>
        <w:rPr>
          <w:lang w:val="en-US"/>
        </w:rPr>
        <w:t>”, Nokia, Nokia Shanghai Bell</w:t>
      </w:r>
    </w:p>
    <w:p w14:paraId="5C70F95C" w14:textId="194A25F9" w:rsidR="00873519" w:rsidRDefault="008A215E" w:rsidP="00050114">
      <w:pPr>
        <w:pStyle w:val="ListParagraph"/>
        <w:numPr>
          <w:ilvl w:val="0"/>
          <w:numId w:val="14"/>
        </w:numPr>
        <w:overflowPunct/>
        <w:autoSpaceDE/>
        <w:autoSpaceDN/>
        <w:adjustRightInd/>
        <w:spacing w:after="0" w:line="259" w:lineRule="auto"/>
        <w:textAlignment w:val="auto"/>
        <w:rPr>
          <w:lang w:val="en-US"/>
        </w:rPr>
      </w:pPr>
      <w:r w:rsidRPr="008A215E">
        <w:rPr>
          <w:lang w:val="en-US"/>
        </w:rPr>
        <w:t>R4-2107973</w:t>
      </w:r>
      <w:r w:rsidR="000F3604">
        <w:rPr>
          <w:lang w:val="en-US"/>
        </w:rPr>
        <w:t xml:space="preserve">, </w:t>
      </w:r>
      <w:r w:rsidRPr="008A215E">
        <w:rPr>
          <w:lang w:val="en-US"/>
        </w:rPr>
        <w:t>WF on 60 GHz UE Tx requirements</w:t>
      </w:r>
    </w:p>
    <w:p w14:paraId="00755443" w14:textId="13529B26" w:rsidR="006B6DB1" w:rsidRPr="00541D37" w:rsidRDefault="00736160" w:rsidP="00050114">
      <w:pPr>
        <w:pStyle w:val="ListParagraph"/>
        <w:numPr>
          <w:ilvl w:val="0"/>
          <w:numId w:val="14"/>
        </w:numPr>
        <w:overflowPunct/>
        <w:autoSpaceDE/>
        <w:autoSpaceDN/>
        <w:adjustRightInd/>
        <w:spacing w:after="0" w:line="259" w:lineRule="auto"/>
        <w:textAlignment w:val="auto"/>
        <w:rPr>
          <w:lang w:val="da-DK"/>
        </w:rPr>
      </w:pPr>
      <w:r w:rsidRPr="00541D37">
        <w:rPr>
          <w:lang w:val="da-DK"/>
        </w:rPr>
        <w:t>EN 303 753, ETSI BRAN</w:t>
      </w:r>
    </w:p>
    <w:p w14:paraId="21877AEB" w14:textId="3708B401" w:rsidR="00050114" w:rsidRDefault="00050114" w:rsidP="00E03F2D">
      <w:pPr>
        <w:pStyle w:val="ListParagraph"/>
        <w:numPr>
          <w:ilvl w:val="0"/>
          <w:numId w:val="14"/>
        </w:numPr>
        <w:overflowPunct/>
        <w:autoSpaceDE/>
        <w:autoSpaceDN/>
        <w:adjustRightInd/>
        <w:spacing w:after="0" w:line="259" w:lineRule="auto"/>
        <w:textAlignment w:val="auto"/>
        <w:rPr>
          <w:lang w:val="en-US"/>
        </w:rPr>
      </w:pPr>
      <w:r w:rsidRPr="7FEEF213">
        <w:rPr>
          <w:lang w:val="en-US"/>
        </w:rPr>
        <w:t>R4-2016988, “</w:t>
      </w:r>
      <w:r w:rsidRPr="7FEEF213">
        <w:rPr>
          <w:i/>
          <w:iCs/>
          <w:lang w:val="en-US"/>
        </w:rPr>
        <w:t>WF on FS 52.6 – 71 GHz Part 2 [141]</w:t>
      </w:r>
      <w:r w:rsidRPr="7FEEF213">
        <w:rPr>
          <w:lang w:val="en-US"/>
        </w:rPr>
        <w:t>”, Intel</w:t>
      </w:r>
    </w:p>
    <w:p w14:paraId="63EE4ABA" w14:textId="2088F496" w:rsidR="00B00621" w:rsidRDefault="00292C38" w:rsidP="00E03F2D">
      <w:pPr>
        <w:pStyle w:val="ListParagraph"/>
        <w:numPr>
          <w:ilvl w:val="0"/>
          <w:numId w:val="14"/>
        </w:numPr>
        <w:overflowPunct/>
        <w:autoSpaceDE/>
        <w:autoSpaceDN/>
        <w:adjustRightInd/>
        <w:spacing w:after="0" w:line="259" w:lineRule="auto"/>
        <w:textAlignment w:val="auto"/>
        <w:rPr>
          <w:lang w:val="en-US"/>
        </w:rPr>
      </w:pPr>
      <w:r w:rsidRPr="00292C38">
        <w:rPr>
          <w:lang w:val="en-US"/>
        </w:rPr>
        <w:t>R4-2107985</w:t>
      </w:r>
      <w:r w:rsidR="00B00621" w:rsidRPr="00B00621">
        <w:rPr>
          <w:lang w:val="en-US"/>
        </w:rPr>
        <w:t>, “</w:t>
      </w:r>
      <w:r w:rsidR="00532BF3" w:rsidRPr="00532BF3">
        <w:rPr>
          <w:lang w:val="en-US"/>
        </w:rPr>
        <w:t>LS on 60 GHz time-related issues</w:t>
      </w:r>
      <w:r w:rsidR="00B00621" w:rsidRPr="00B00621">
        <w:rPr>
          <w:lang w:val="en-US"/>
        </w:rPr>
        <w:t xml:space="preserve">”, </w:t>
      </w:r>
      <w:r w:rsidR="00532BF3">
        <w:rPr>
          <w:lang w:val="en-US"/>
        </w:rPr>
        <w:t>4</w:t>
      </w:r>
    </w:p>
    <w:p w14:paraId="3EAC80E1" w14:textId="77777777" w:rsidR="002A1882" w:rsidRPr="002A1882" w:rsidRDefault="002A1882" w:rsidP="002A1882">
      <w:pPr>
        <w:pStyle w:val="ListParagraph"/>
        <w:numPr>
          <w:ilvl w:val="0"/>
          <w:numId w:val="14"/>
        </w:numPr>
        <w:rPr>
          <w:lang w:val="en-US" w:eastAsia="ja-JP"/>
        </w:rPr>
      </w:pPr>
      <w:r w:rsidRPr="002A1882">
        <w:rPr>
          <w:lang w:val="en-US" w:eastAsia="ja-JP"/>
        </w:rPr>
        <w:t>3GPP TR 38.808 v2.0.0, Study on supporting NR from 52.6 GHz to 71 GHz (Release 17)</w:t>
      </w:r>
    </w:p>
    <w:p w14:paraId="1A9A92E3" w14:textId="51101F83" w:rsidR="002A1882" w:rsidRDefault="00E674C5" w:rsidP="00E03F2D">
      <w:pPr>
        <w:pStyle w:val="ListParagraph"/>
        <w:numPr>
          <w:ilvl w:val="0"/>
          <w:numId w:val="14"/>
        </w:numPr>
        <w:overflowPunct/>
        <w:autoSpaceDE/>
        <w:autoSpaceDN/>
        <w:adjustRightInd/>
        <w:spacing w:after="0" w:line="259" w:lineRule="auto"/>
        <w:textAlignment w:val="auto"/>
        <w:rPr>
          <w:lang w:val="en-US"/>
        </w:rPr>
      </w:pPr>
      <w:r w:rsidRPr="00E674C5">
        <w:rPr>
          <w:lang w:val="en-US"/>
        </w:rPr>
        <w:t>R4-1805766, “LS on UE Rx/Tx transition times”, RAN4</w:t>
      </w:r>
    </w:p>
    <w:p w14:paraId="7295D654" w14:textId="79D329CB" w:rsidR="00E520DA" w:rsidRDefault="00E520DA" w:rsidP="00E03F2D">
      <w:pPr>
        <w:pStyle w:val="ListParagraph"/>
        <w:numPr>
          <w:ilvl w:val="0"/>
          <w:numId w:val="14"/>
        </w:numPr>
        <w:overflowPunct/>
        <w:autoSpaceDE/>
        <w:autoSpaceDN/>
        <w:adjustRightInd/>
        <w:spacing w:after="0" w:line="259" w:lineRule="auto"/>
        <w:textAlignment w:val="auto"/>
        <w:rPr>
          <w:lang w:val="en-US"/>
        </w:rPr>
      </w:pPr>
      <w:r>
        <w:rPr>
          <w:lang w:val="en-US"/>
        </w:rPr>
        <w:t>R4-2015444, “UE RF for NR beyond 52.6 GHz”, Nokia, Nokia Shanghai Bell</w:t>
      </w:r>
    </w:p>
    <w:p w14:paraId="34F75299" w14:textId="5DDF6F49" w:rsidR="00D26202" w:rsidRPr="00E03F2D" w:rsidRDefault="00D26202" w:rsidP="00E03F2D">
      <w:pPr>
        <w:pStyle w:val="ListParagraph"/>
        <w:numPr>
          <w:ilvl w:val="0"/>
          <w:numId w:val="14"/>
        </w:numPr>
        <w:overflowPunct/>
        <w:autoSpaceDE/>
        <w:autoSpaceDN/>
        <w:adjustRightInd/>
        <w:spacing w:after="0" w:line="259" w:lineRule="auto"/>
        <w:textAlignment w:val="auto"/>
        <w:rPr>
          <w:lang w:val="en-US"/>
        </w:rPr>
      </w:pPr>
      <w:r w:rsidRPr="00D26202">
        <w:rPr>
          <w:lang w:val="en-US"/>
        </w:rPr>
        <w:t>R4-2114989</w:t>
      </w:r>
      <w:r>
        <w:rPr>
          <w:lang w:val="en-US"/>
        </w:rPr>
        <w:t xml:space="preserve">, </w:t>
      </w:r>
      <w:r w:rsidRPr="00D26202">
        <w:rPr>
          <w:lang w:val="en-US"/>
        </w:rPr>
        <w:t>WF on 60 GHz UE RF requirements</w:t>
      </w:r>
      <w:r>
        <w:rPr>
          <w:lang w:val="en-US"/>
        </w:rPr>
        <w:t>, Qualcomm</w:t>
      </w:r>
    </w:p>
    <w:p w14:paraId="6D32362C" w14:textId="77777777" w:rsidR="00BE28F0" w:rsidRPr="00BE28F0" w:rsidRDefault="00BE28F0" w:rsidP="00BE28F0">
      <w:pPr>
        <w:pStyle w:val="EX"/>
        <w:tabs>
          <w:tab w:val="left" w:pos="426"/>
        </w:tabs>
        <w:ind w:left="360" w:firstLine="0"/>
        <w:rPr>
          <w:lang w:val="en-US"/>
        </w:rPr>
      </w:pPr>
    </w:p>
    <w:bookmarkEnd w:id="0"/>
    <w:p w14:paraId="3A5522EE" w14:textId="77777777" w:rsidR="007D5DA8" w:rsidRPr="00904C26" w:rsidRDefault="007D5DA8" w:rsidP="007D5DA8">
      <w:pPr>
        <w:pStyle w:val="EX"/>
        <w:tabs>
          <w:tab w:val="left" w:pos="426"/>
        </w:tabs>
        <w:overflowPunct/>
        <w:autoSpaceDE/>
        <w:autoSpaceDN/>
        <w:adjustRightInd/>
        <w:ind w:left="284" w:firstLine="0"/>
        <w:textAlignment w:val="auto"/>
      </w:pPr>
    </w:p>
    <w:sectPr w:rsidR="007D5DA8" w:rsidRPr="00904C26" w:rsidSect="003D2D8F">
      <w:headerReference w:type="default" r:id="rId13"/>
      <w:footerReference w:type="default" r:id="rId14"/>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3A56B4" w14:textId="77777777" w:rsidR="00227D0E" w:rsidRDefault="00227D0E">
      <w:r>
        <w:separator/>
      </w:r>
    </w:p>
    <w:p w14:paraId="031D0EFC" w14:textId="77777777" w:rsidR="00227D0E" w:rsidRDefault="00227D0E"/>
  </w:endnote>
  <w:endnote w:type="continuationSeparator" w:id="0">
    <w:p w14:paraId="53243A7B" w14:textId="77777777" w:rsidR="00227D0E" w:rsidRDefault="00227D0E">
      <w:r>
        <w:continuationSeparator/>
      </w:r>
    </w:p>
    <w:p w14:paraId="2FE45AAA" w14:textId="77777777" w:rsidR="00227D0E" w:rsidRDefault="00227D0E"/>
  </w:endnote>
  <w:endnote w:type="continuationNotice" w:id="1">
    <w:p w14:paraId="7DB180AD" w14:textId="77777777" w:rsidR="00227D0E" w:rsidRDefault="00227D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Mincho"/>
    <w:charset w:val="80"/>
    <w:family w:val="auto"/>
    <w:pitch w:val="default"/>
    <w:sig w:usb0="00000000" w:usb1="0000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6FF9FA" w14:textId="77777777" w:rsidR="00FB74B9" w:rsidRDefault="00FB74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FC1E11" w14:textId="77777777" w:rsidR="00227D0E" w:rsidRDefault="00227D0E">
      <w:r>
        <w:separator/>
      </w:r>
    </w:p>
    <w:p w14:paraId="3A1A4306" w14:textId="77777777" w:rsidR="00227D0E" w:rsidRDefault="00227D0E"/>
  </w:footnote>
  <w:footnote w:type="continuationSeparator" w:id="0">
    <w:p w14:paraId="78938D22" w14:textId="77777777" w:rsidR="00227D0E" w:rsidRDefault="00227D0E">
      <w:r>
        <w:continuationSeparator/>
      </w:r>
    </w:p>
    <w:p w14:paraId="4F9A3F58" w14:textId="77777777" w:rsidR="00227D0E" w:rsidRDefault="00227D0E"/>
  </w:footnote>
  <w:footnote w:type="continuationNotice" w:id="1">
    <w:p w14:paraId="364FE7F0" w14:textId="77777777" w:rsidR="00227D0E" w:rsidRDefault="00227D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5A2EDF" w14:textId="77777777" w:rsidR="00FB74B9" w:rsidRPr="00B72D39" w:rsidRDefault="00FB74B9"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B06977"/>
    <w:multiLevelType w:val="hybridMultilevel"/>
    <w:tmpl w:val="87C4F986"/>
    <w:lvl w:ilvl="0" w:tplc="551C708E">
      <w:start w:val="1"/>
      <w:numFmt w:val="bullet"/>
      <w:lvlText w:val="•"/>
      <w:lvlJc w:val="left"/>
      <w:pPr>
        <w:tabs>
          <w:tab w:val="num" w:pos="720"/>
        </w:tabs>
        <w:ind w:left="720" w:hanging="360"/>
      </w:pPr>
      <w:rPr>
        <w:rFonts w:ascii="Arial" w:hAnsi="Arial" w:hint="default"/>
      </w:rPr>
    </w:lvl>
    <w:lvl w:ilvl="1" w:tplc="91CCB310">
      <w:start w:val="1860"/>
      <w:numFmt w:val="bullet"/>
      <w:lvlText w:val="–"/>
      <w:lvlJc w:val="left"/>
      <w:pPr>
        <w:tabs>
          <w:tab w:val="num" w:pos="1440"/>
        </w:tabs>
        <w:ind w:left="1440" w:hanging="360"/>
      </w:pPr>
      <w:rPr>
        <w:rFonts w:ascii="Arial" w:hAnsi="Arial" w:hint="default"/>
      </w:rPr>
    </w:lvl>
    <w:lvl w:ilvl="2" w:tplc="24C0353A">
      <w:start w:val="1"/>
      <w:numFmt w:val="bullet"/>
      <w:lvlText w:val="•"/>
      <w:lvlJc w:val="left"/>
      <w:pPr>
        <w:tabs>
          <w:tab w:val="num" w:pos="2160"/>
        </w:tabs>
        <w:ind w:left="2160" w:hanging="360"/>
      </w:pPr>
      <w:rPr>
        <w:rFonts w:ascii="Arial" w:hAnsi="Arial" w:hint="default"/>
      </w:rPr>
    </w:lvl>
    <w:lvl w:ilvl="3" w:tplc="54BC1C02" w:tentative="1">
      <w:start w:val="1"/>
      <w:numFmt w:val="bullet"/>
      <w:lvlText w:val="•"/>
      <w:lvlJc w:val="left"/>
      <w:pPr>
        <w:tabs>
          <w:tab w:val="num" w:pos="2880"/>
        </w:tabs>
        <w:ind w:left="2880" w:hanging="360"/>
      </w:pPr>
      <w:rPr>
        <w:rFonts w:ascii="Arial" w:hAnsi="Arial" w:hint="default"/>
      </w:rPr>
    </w:lvl>
    <w:lvl w:ilvl="4" w:tplc="BE847598" w:tentative="1">
      <w:start w:val="1"/>
      <w:numFmt w:val="bullet"/>
      <w:lvlText w:val="•"/>
      <w:lvlJc w:val="left"/>
      <w:pPr>
        <w:tabs>
          <w:tab w:val="num" w:pos="3600"/>
        </w:tabs>
        <w:ind w:left="3600" w:hanging="360"/>
      </w:pPr>
      <w:rPr>
        <w:rFonts w:ascii="Arial" w:hAnsi="Arial" w:hint="default"/>
      </w:rPr>
    </w:lvl>
    <w:lvl w:ilvl="5" w:tplc="C2385CFA" w:tentative="1">
      <w:start w:val="1"/>
      <w:numFmt w:val="bullet"/>
      <w:lvlText w:val="•"/>
      <w:lvlJc w:val="left"/>
      <w:pPr>
        <w:tabs>
          <w:tab w:val="num" w:pos="4320"/>
        </w:tabs>
        <w:ind w:left="4320" w:hanging="360"/>
      </w:pPr>
      <w:rPr>
        <w:rFonts w:ascii="Arial" w:hAnsi="Arial" w:hint="default"/>
      </w:rPr>
    </w:lvl>
    <w:lvl w:ilvl="6" w:tplc="50FE8CEA" w:tentative="1">
      <w:start w:val="1"/>
      <w:numFmt w:val="bullet"/>
      <w:lvlText w:val="•"/>
      <w:lvlJc w:val="left"/>
      <w:pPr>
        <w:tabs>
          <w:tab w:val="num" w:pos="5040"/>
        </w:tabs>
        <w:ind w:left="5040" w:hanging="360"/>
      </w:pPr>
      <w:rPr>
        <w:rFonts w:ascii="Arial" w:hAnsi="Arial" w:hint="default"/>
      </w:rPr>
    </w:lvl>
    <w:lvl w:ilvl="7" w:tplc="73168D66" w:tentative="1">
      <w:start w:val="1"/>
      <w:numFmt w:val="bullet"/>
      <w:lvlText w:val="•"/>
      <w:lvlJc w:val="left"/>
      <w:pPr>
        <w:tabs>
          <w:tab w:val="num" w:pos="5760"/>
        </w:tabs>
        <w:ind w:left="5760" w:hanging="360"/>
      </w:pPr>
      <w:rPr>
        <w:rFonts w:ascii="Arial" w:hAnsi="Arial" w:hint="default"/>
      </w:rPr>
    </w:lvl>
    <w:lvl w:ilvl="8" w:tplc="000E7EA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E2F4305"/>
    <w:multiLevelType w:val="hybridMultilevel"/>
    <w:tmpl w:val="2F6805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CD49F8"/>
    <w:multiLevelType w:val="hybridMultilevel"/>
    <w:tmpl w:val="E820AA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192F655C"/>
    <w:multiLevelType w:val="hybridMultilevel"/>
    <w:tmpl w:val="86108B4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3C4398"/>
    <w:multiLevelType w:val="hybridMultilevel"/>
    <w:tmpl w:val="E306208C"/>
    <w:lvl w:ilvl="0" w:tplc="21DA0276">
      <w:start w:val="1"/>
      <w:numFmt w:val="bullet"/>
      <w:lvlText w:val="•"/>
      <w:lvlJc w:val="left"/>
      <w:pPr>
        <w:tabs>
          <w:tab w:val="num" w:pos="720"/>
        </w:tabs>
        <w:ind w:left="720" w:hanging="360"/>
      </w:pPr>
      <w:rPr>
        <w:rFonts w:ascii="Arial" w:hAnsi="Arial" w:hint="default"/>
      </w:rPr>
    </w:lvl>
    <w:lvl w:ilvl="1" w:tplc="DFB23DF2">
      <w:start w:val="1"/>
      <w:numFmt w:val="bullet"/>
      <w:lvlText w:val="•"/>
      <w:lvlJc w:val="left"/>
      <w:pPr>
        <w:tabs>
          <w:tab w:val="num" w:pos="1440"/>
        </w:tabs>
        <w:ind w:left="1440" w:hanging="360"/>
      </w:pPr>
      <w:rPr>
        <w:rFonts w:ascii="Arial" w:hAnsi="Arial" w:hint="default"/>
      </w:rPr>
    </w:lvl>
    <w:lvl w:ilvl="2" w:tplc="C9FC3FA2">
      <w:start w:val="1"/>
      <w:numFmt w:val="decimal"/>
      <w:lvlText w:val="%3."/>
      <w:lvlJc w:val="left"/>
      <w:pPr>
        <w:tabs>
          <w:tab w:val="num" w:pos="2160"/>
        </w:tabs>
        <w:ind w:left="2160" w:hanging="360"/>
      </w:pPr>
    </w:lvl>
    <w:lvl w:ilvl="3" w:tplc="B71EB242" w:tentative="1">
      <w:start w:val="1"/>
      <w:numFmt w:val="bullet"/>
      <w:lvlText w:val="•"/>
      <w:lvlJc w:val="left"/>
      <w:pPr>
        <w:tabs>
          <w:tab w:val="num" w:pos="2880"/>
        </w:tabs>
        <w:ind w:left="2880" w:hanging="360"/>
      </w:pPr>
      <w:rPr>
        <w:rFonts w:ascii="Arial" w:hAnsi="Arial" w:hint="default"/>
      </w:rPr>
    </w:lvl>
    <w:lvl w:ilvl="4" w:tplc="FDD450F6" w:tentative="1">
      <w:start w:val="1"/>
      <w:numFmt w:val="bullet"/>
      <w:lvlText w:val="•"/>
      <w:lvlJc w:val="left"/>
      <w:pPr>
        <w:tabs>
          <w:tab w:val="num" w:pos="3600"/>
        </w:tabs>
        <w:ind w:left="3600" w:hanging="360"/>
      </w:pPr>
      <w:rPr>
        <w:rFonts w:ascii="Arial" w:hAnsi="Arial" w:hint="default"/>
      </w:rPr>
    </w:lvl>
    <w:lvl w:ilvl="5" w:tplc="3EDAA50E" w:tentative="1">
      <w:start w:val="1"/>
      <w:numFmt w:val="bullet"/>
      <w:lvlText w:val="•"/>
      <w:lvlJc w:val="left"/>
      <w:pPr>
        <w:tabs>
          <w:tab w:val="num" w:pos="4320"/>
        </w:tabs>
        <w:ind w:left="4320" w:hanging="360"/>
      </w:pPr>
      <w:rPr>
        <w:rFonts w:ascii="Arial" w:hAnsi="Arial" w:hint="default"/>
      </w:rPr>
    </w:lvl>
    <w:lvl w:ilvl="6" w:tplc="955679F8" w:tentative="1">
      <w:start w:val="1"/>
      <w:numFmt w:val="bullet"/>
      <w:lvlText w:val="•"/>
      <w:lvlJc w:val="left"/>
      <w:pPr>
        <w:tabs>
          <w:tab w:val="num" w:pos="5040"/>
        </w:tabs>
        <w:ind w:left="5040" w:hanging="360"/>
      </w:pPr>
      <w:rPr>
        <w:rFonts w:ascii="Arial" w:hAnsi="Arial" w:hint="default"/>
      </w:rPr>
    </w:lvl>
    <w:lvl w:ilvl="7" w:tplc="933A7B2A" w:tentative="1">
      <w:start w:val="1"/>
      <w:numFmt w:val="bullet"/>
      <w:lvlText w:val="•"/>
      <w:lvlJc w:val="left"/>
      <w:pPr>
        <w:tabs>
          <w:tab w:val="num" w:pos="5760"/>
        </w:tabs>
        <w:ind w:left="5760" w:hanging="360"/>
      </w:pPr>
      <w:rPr>
        <w:rFonts w:ascii="Arial" w:hAnsi="Arial" w:hint="default"/>
      </w:rPr>
    </w:lvl>
    <w:lvl w:ilvl="8" w:tplc="8C4002A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0BB56D1"/>
    <w:multiLevelType w:val="hybridMultilevel"/>
    <w:tmpl w:val="A3D6B0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921209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7CA7D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B2B14DA"/>
    <w:multiLevelType w:val="hybridMultilevel"/>
    <w:tmpl w:val="312A5DD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CC76036"/>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D3E3422"/>
    <w:multiLevelType w:val="multilevel"/>
    <w:tmpl w:val="3C4A5216"/>
    <w:lvl w:ilvl="0">
      <w:start w:val="1"/>
      <w:numFmt w:val="decimal"/>
      <w:lvlText w:val="%1."/>
      <w:lvlJc w:val="left"/>
      <w:pPr>
        <w:ind w:left="360" w:hanging="360"/>
      </w:pPr>
    </w:lvl>
    <w:lvl w:ilvl="1">
      <w:start w:val="1"/>
      <w:numFmt w:val="decimal"/>
      <w:pStyle w:val="Heading4"/>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1DE237E"/>
    <w:multiLevelType w:val="hybridMultilevel"/>
    <w:tmpl w:val="B4EE8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4203612"/>
    <w:multiLevelType w:val="hybridMultilevel"/>
    <w:tmpl w:val="1C2C3348"/>
    <w:lvl w:ilvl="0" w:tplc="0809000F">
      <w:start w:val="1"/>
      <w:numFmt w:val="decimal"/>
      <w:lvlText w:val="%1."/>
      <w:lvlJc w:val="left"/>
      <w:pPr>
        <w:ind w:left="928" w:hanging="360"/>
      </w:p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9" w15:restartNumberingAfterBreak="0">
    <w:nsid w:val="46CF3722"/>
    <w:multiLevelType w:val="multilevel"/>
    <w:tmpl w:val="8C146090"/>
    <w:lvl w:ilvl="0">
      <w:start w:val="2"/>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20" w15:restartNumberingAfterBreak="0">
    <w:nsid w:val="47357B3E"/>
    <w:multiLevelType w:val="hybridMultilevel"/>
    <w:tmpl w:val="96501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6554DA"/>
    <w:multiLevelType w:val="hybridMultilevel"/>
    <w:tmpl w:val="CBB6A3C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A8765E2"/>
    <w:multiLevelType w:val="multilevel"/>
    <w:tmpl w:val="8C146090"/>
    <w:lvl w:ilvl="0">
      <w:start w:val="2"/>
      <w:numFmt w:val="decimal"/>
      <w:lvlText w:val="%1"/>
      <w:lvlJc w:val="left"/>
      <w:pPr>
        <w:ind w:left="779" w:hanging="495"/>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364" w:hanging="1080"/>
      </w:pPr>
      <w:rPr>
        <w:rFonts w:hint="default"/>
      </w:rPr>
    </w:lvl>
    <w:lvl w:ilvl="3">
      <w:start w:val="1"/>
      <w:numFmt w:val="decimal"/>
      <w:lvlText w:val="%1.%2.%3.%4"/>
      <w:lvlJc w:val="left"/>
      <w:pPr>
        <w:ind w:left="1724" w:hanging="144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2084" w:hanging="1800"/>
      </w:pPr>
      <w:rPr>
        <w:rFonts w:hint="default"/>
      </w:rPr>
    </w:lvl>
    <w:lvl w:ilvl="6">
      <w:start w:val="1"/>
      <w:numFmt w:val="decimal"/>
      <w:lvlText w:val="%1.%2.%3.%4.%5.%6.%7"/>
      <w:lvlJc w:val="left"/>
      <w:pPr>
        <w:ind w:left="2444" w:hanging="2160"/>
      </w:pPr>
      <w:rPr>
        <w:rFonts w:hint="default"/>
      </w:rPr>
    </w:lvl>
    <w:lvl w:ilvl="7">
      <w:start w:val="1"/>
      <w:numFmt w:val="decimal"/>
      <w:lvlText w:val="%1.%2.%3.%4.%5.%6.%7.%8"/>
      <w:lvlJc w:val="left"/>
      <w:pPr>
        <w:ind w:left="2804" w:hanging="2520"/>
      </w:pPr>
      <w:rPr>
        <w:rFonts w:hint="default"/>
      </w:rPr>
    </w:lvl>
    <w:lvl w:ilvl="8">
      <w:start w:val="1"/>
      <w:numFmt w:val="decimal"/>
      <w:lvlText w:val="%1.%2.%3.%4.%5.%6.%7.%8.%9"/>
      <w:lvlJc w:val="left"/>
      <w:pPr>
        <w:ind w:left="3164" w:hanging="2880"/>
      </w:pPr>
      <w:rPr>
        <w:rFonts w:hint="default"/>
      </w:rPr>
    </w:lvl>
  </w:abstractNum>
  <w:abstractNum w:abstractNumId="23" w15:restartNumberingAfterBreak="0">
    <w:nsid w:val="514D337A"/>
    <w:multiLevelType w:val="hybridMultilevel"/>
    <w:tmpl w:val="688C4D04"/>
    <w:lvl w:ilvl="0" w:tplc="89C827D0">
      <w:start w:val="1"/>
      <w:numFmt w:val="decimal"/>
      <w:pStyle w:val="myReference"/>
      <w:lvlText w:val="[%1]"/>
      <w:lvlJc w:val="left"/>
      <w:pPr>
        <w:tabs>
          <w:tab w:val="num" w:pos="-1440"/>
        </w:tabs>
        <w:ind w:left="-1440" w:hanging="360"/>
      </w:pPr>
      <w:rPr>
        <w:rFonts w:hint="default"/>
      </w:rPr>
    </w:lvl>
    <w:lvl w:ilvl="1" w:tplc="B3E61F28" w:tentative="1">
      <w:start w:val="1"/>
      <w:numFmt w:val="lowerLetter"/>
      <w:lvlText w:val="%2."/>
      <w:lvlJc w:val="left"/>
      <w:pPr>
        <w:tabs>
          <w:tab w:val="num" w:pos="-720"/>
        </w:tabs>
        <w:ind w:left="-720" w:hanging="360"/>
      </w:pPr>
    </w:lvl>
    <w:lvl w:ilvl="2" w:tplc="BC2EB790" w:tentative="1">
      <w:start w:val="1"/>
      <w:numFmt w:val="lowerRoman"/>
      <w:lvlText w:val="%3."/>
      <w:lvlJc w:val="right"/>
      <w:pPr>
        <w:tabs>
          <w:tab w:val="num" w:pos="0"/>
        </w:tabs>
        <w:ind w:left="0" w:hanging="180"/>
      </w:pPr>
    </w:lvl>
    <w:lvl w:ilvl="3" w:tplc="A8402236" w:tentative="1">
      <w:start w:val="1"/>
      <w:numFmt w:val="decimal"/>
      <w:lvlText w:val="%4."/>
      <w:lvlJc w:val="left"/>
      <w:pPr>
        <w:tabs>
          <w:tab w:val="num" w:pos="720"/>
        </w:tabs>
        <w:ind w:left="720" w:hanging="360"/>
      </w:pPr>
    </w:lvl>
    <w:lvl w:ilvl="4" w:tplc="C9A0BC18" w:tentative="1">
      <w:start w:val="1"/>
      <w:numFmt w:val="lowerLetter"/>
      <w:lvlText w:val="%5."/>
      <w:lvlJc w:val="left"/>
      <w:pPr>
        <w:tabs>
          <w:tab w:val="num" w:pos="1440"/>
        </w:tabs>
        <w:ind w:left="1440" w:hanging="360"/>
      </w:pPr>
    </w:lvl>
    <w:lvl w:ilvl="5" w:tplc="9830E74C" w:tentative="1">
      <w:start w:val="1"/>
      <w:numFmt w:val="lowerRoman"/>
      <w:lvlText w:val="%6."/>
      <w:lvlJc w:val="right"/>
      <w:pPr>
        <w:tabs>
          <w:tab w:val="num" w:pos="2160"/>
        </w:tabs>
        <w:ind w:left="2160" w:hanging="180"/>
      </w:pPr>
    </w:lvl>
    <w:lvl w:ilvl="6" w:tplc="FDAA0256" w:tentative="1">
      <w:start w:val="1"/>
      <w:numFmt w:val="decimal"/>
      <w:lvlText w:val="%7."/>
      <w:lvlJc w:val="left"/>
      <w:pPr>
        <w:tabs>
          <w:tab w:val="num" w:pos="2880"/>
        </w:tabs>
        <w:ind w:left="2880" w:hanging="360"/>
      </w:pPr>
    </w:lvl>
    <w:lvl w:ilvl="7" w:tplc="0D50F762" w:tentative="1">
      <w:start w:val="1"/>
      <w:numFmt w:val="lowerLetter"/>
      <w:lvlText w:val="%8."/>
      <w:lvlJc w:val="left"/>
      <w:pPr>
        <w:tabs>
          <w:tab w:val="num" w:pos="3600"/>
        </w:tabs>
        <w:ind w:left="3600" w:hanging="360"/>
      </w:pPr>
    </w:lvl>
    <w:lvl w:ilvl="8" w:tplc="11E00468" w:tentative="1">
      <w:start w:val="1"/>
      <w:numFmt w:val="lowerRoman"/>
      <w:lvlText w:val="%9."/>
      <w:lvlJc w:val="right"/>
      <w:pPr>
        <w:tabs>
          <w:tab w:val="num" w:pos="4320"/>
        </w:tabs>
        <w:ind w:left="4320" w:hanging="180"/>
      </w:pPr>
    </w:lvl>
  </w:abstractNum>
  <w:abstractNum w:abstractNumId="2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3C0005"/>
    <w:multiLevelType w:val="hybridMultilevel"/>
    <w:tmpl w:val="DE1C6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54C012DF"/>
    <w:multiLevelType w:val="hybridMultilevel"/>
    <w:tmpl w:val="6D48F840"/>
    <w:lvl w:ilvl="0" w:tplc="04090003">
      <w:start w:val="1"/>
      <w:numFmt w:val="bullet"/>
      <w:lvlText w:val=""/>
      <w:lvlJc w:val="left"/>
      <w:pPr>
        <w:ind w:left="988" w:hanging="420"/>
      </w:pPr>
      <w:rPr>
        <w:rFonts w:ascii="Wingdings" w:hAnsi="Wingdings"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54D372DD"/>
    <w:multiLevelType w:val="hybridMultilevel"/>
    <w:tmpl w:val="9C76E652"/>
    <w:lvl w:ilvl="0" w:tplc="8D86E31E">
      <w:start w:val="1"/>
      <w:numFmt w:val="bullet"/>
      <w:lvlText w:val="•"/>
      <w:lvlJc w:val="left"/>
      <w:pPr>
        <w:tabs>
          <w:tab w:val="num" w:pos="720"/>
        </w:tabs>
        <w:ind w:left="720" w:hanging="360"/>
      </w:pPr>
      <w:rPr>
        <w:rFonts w:ascii="Arial" w:hAnsi="Arial" w:hint="default"/>
      </w:rPr>
    </w:lvl>
    <w:lvl w:ilvl="1" w:tplc="9FB44DB8">
      <w:start w:val="26"/>
      <w:numFmt w:val="bullet"/>
      <w:lvlText w:val="–"/>
      <w:lvlJc w:val="left"/>
      <w:pPr>
        <w:tabs>
          <w:tab w:val="num" w:pos="1440"/>
        </w:tabs>
        <w:ind w:left="1440" w:hanging="360"/>
      </w:pPr>
      <w:rPr>
        <w:rFonts w:ascii="Arial" w:hAnsi="Arial" w:hint="default"/>
      </w:rPr>
    </w:lvl>
    <w:lvl w:ilvl="2" w:tplc="F74CEB7A" w:tentative="1">
      <w:start w:val="1"/>
      <w:numFmt w:val="bullet"/>
      <w:lvlText w:val="•"/>
      <w:lvlJc w:val="left"/>
      <w:pPr>
        <w:tabs>
          <w:tab w:val="num" w:pos="2160"/>
        </w:tabs>
        <w:ind w:left="2160" w:hanging="360"/>
      </w:pPr>
      <w:rPr>
        <w:rFonts w:ascii="Arial" w:hAnsi="Arial" w:hint="default"/>
      </w:rPr>
    </w:lvl>
    <w:lvl w:ilvl="3" w:tplc="2C004C04" w:tentative="1">
      <w:start w:val="1"/>
      <w:numFmt w:val="bullet"/>
      <w:lvlText w:val="•"/>
      <w:lvlJc w:val="left"/>
      <w:pPr>
        <w:tabs>
          <w:tab w:val="num" w:pos="2880"/>
        </w:tabs>
        <w:ind w:left="2880" w:hanging="360"/>
      </w:pPr>
      <w:rPr>
        <w:rFonts w:ascii="Arial" w:hAnsi="Arial" w:hint="default"/>
      </w:rPr>
    </w:lvl>
    <w:lvl w:ilvl="4" w:tplc="C916DDF4" w:tentative="1">
      <w:start w:val="1"/>
      <w:numFmt w:val="bullet"/>
      <w:lvlText w:val="•"/>
      <w:lvlJc w:val="left"/>
      <w:pPr>
        <w:tabs>
          <w:tab w:val="num" w:pos="3600"/>
        </w:tabs>
        <w:ind w:left="3600" w:hanging="360"/>
      </w:pPr>
      <w:rPr>
        <w:rFonts w:ascii="Arial" w:hAnsi="Arial" w:hint="default"/>
      </w:rPr>
    </w:lvl>
    <w:lvl w:ilvl="5" w:tplc="7C845A9A" w:tentative="1">
      <w:start w:val="1"/>
      <w:numFmt w:val="bullet"/>
      <w:lvlText w:val="•"/>
      <w:lvlJc w:val="left"/>
      <w:pPr>
        <w:tabs>
          <w:tab w:val="num" w:pos="4320"/>
        </w:tabs>
        <w:ind w:left="4320" w:hanging="360"/>
      </w:pPr>
      <w:rPr>
        <w:rFonts w:ascii="Arial" w:hAnsi="Arial" w:hint="default"/>
      </w:rPr>
    </w:lvl>
    <w:lvl w:ilvl="6" w:tplc="409ADB46" w:tentative="1">
      <w:start w:val="1"/>
      <w:numFmt w:val="bullet"/>
      <w:lvlText w:val="•"/>
      <w:lvlJc w:val="left"/>
      <w:pPr>
        <w:tabs>
          <w:tab w:val="num" w:pos="5040"/>
        </w:tabs>
        <w:ind w:left="5040" w:hanging="360"/>
      </w:pPr>
      <w:rPr>
        <w:rFonts w:ascii="Arial" w:hAnsi="Arial" w:hint="default"/>
      </w:rPr>
    </w:lvl>
    <w:lvl w:ilvl="7" w:tplc="CCBE1E02" w:tentative="1">
      <w:start w:val="1"/>
      <w:numFmt w:val="bullet"/>
      <w:lvlText w:val="•"/>
      <w:lvlJc w:val="left"/>
      <w:pPr>
        <w:tabs>
          <w:tab w:val="num" w:pos="5760"/>
        </w:tabs>
        <w:ind w:left="5760" w:hanging="360"/>
      </w:pPr>
      <w:rPr>
        <w:rFonts w:ascii="Arial" w:hAnsi="Arial" w:hint="default"/>
      </w:rPr>
    </w:lvl>
    <w:lvl w:ilvl="8" w:tplc="9244C4E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68D2B12"/>
    <w:multiLevelType w:val="hybridMultilevel"/>
    <w:tmpl w:val="1DF0076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0" w15:restartNumberingAfterBreak="0">
    <w:nsid w:val="572E3D0E"/>
    <w:multiLevelType w:val="hybridMultilevel"/>
    <w:tmpl w:val="F9FA98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15:restartNumberingAfterBreak="0">
    <w:nsid w:val="5ADD0C3F"/>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5C0F7121"/>
    <w:multiLevelType w:val="hybridMultilevel"/>
    <w:tmpl w:val="9F1A2E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F6C70E1"/>
    <w:multiLevelType w:val="hybridMultilevel"/>
    <w:tmpl w:val="5F34CD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F865A88"/>
    <w:multiLevelType w:val="hybridMultilevel"/>
    <w:tmpl w:val="C358BB0E"/>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6" w15:restartNumberingAfterBreak="0">
    <w:nsid w:val="62AD51B2"/>
    <w:multiLevelType w:val="hybridMultilevel"/>
    <w:tmpl w:val="B428D452"/>
    <w:lvl w:ilvl="0" w:tplc="43B4A32C">
      <w:start w:val="6"/>
      <w:numFmt w:val="bullet"/>
      <w:lvlText w:val="-"/>
      <w:lvlJc w:val="left"/>
      <w:pPr>
        <w:ind w:left="720" w:hanging="360"/>
      </w:pPr>
      <w:rPr>
        <w:rFonts w:ascii="Times New Roman" w:eastAsia="SimSu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64391FBA"/>
    <w:multiLevelType w:val="hybridMultilevel"/>
    <w:tmpl w:val="79FEA914"/>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8" w15:restartNumberingAfterBreak="0">
    <w:nsid w:val="67224A31"/>
    <w:multiLevelType w:val="hybridMultilevel"/>
    <w:tmpl w:val="EA4CFBC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9" w15:restartNumberingAfterBreak="0">
    <w:nsid w:val="6AAB6F3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303A7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F5661F0"/>
    <w:multiLevelType w:val="hybridMultilevel"/>
    <w:tmpl w:val="DF844FF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3"/>
  </w:num>
  <w:num w:numId="2">
    <w:abstractNumId w:val="11"/>
  </w:num>
  <w:num w:numId="3">
    <w:abstractNumId w:val="42"/>
  </w:num>
  <w:num w:numId="4">
    <w:abstractNumId w:val="9"/>
  </w:num>
  <w:num w:numId="5">
    <w:abstractNumId w:val="2"/>
  </w:num>
  <w:num w:numId="6">
    <w:abstractNumId w:val="41"/>
  </w:num>
  <w:num w:numId="7">
    <w:abstractNumId w:val="31"/>
  </w:num>
  <w:num w:numId="8">
    <w:abstractNumId w:val="40"/>
  </w:num>
  <w:num w:numId="9">
    <w:abstractNumId w:val="10"/>
  </w:num>
  <w:num w:numId="10">
    <w:abstractNumId w:val="24"/>
  </w:num>
  <w:num w:numId="11">
    <w:abstractNumId w:val="45"/>
  </w:num>
  <w:num w:numId="12">
    <w:abstractNumId w:val="17"/>
  </w:num>
  <w:num w:numId="13">
    <w:abstractNumId w:val="37"/>
  </w:num>
  <w:num w:numId="14">
    <w:abstractNumId w:val="26"/>
  </w:num>
  <w:num w:numId="15">
    <w:abstractNumId w:val="14"/>
  </w:num>
  <w:num w:numId="16">
    <w:abstractNumId w:val="6"/>
  </w:num>
  <w:num w:numId="17">
    <w:abstractNumId w:val="1"/>
  </w:num>
  <w:num w:numId="18">
    <w:abstractNumId w:val="0"/>
  </w:num>
  <w:num w:numId="19">
    <w:abstractNumId w:val="15"/>
  </w:num>
  <w:num w:numId="20">
    <w:abstractNumId w:val="5"/>
  </w:num>
  <w:num w:numId="21">
    <w:abstractNumId w:val="34"/>
  </w:num>
  <w:num w:numId="22">
    <w:abstractNumId w:val="18"/>
  </w:num>
  <w:num w:numId="23">
    <w:abstractNumId w:val="19"/>
  </w:num>
  <w:num w:numId="24">
    <w:abstractNumId w:val="22"/>
  </w:num>
  <w:num w:numId="25">
    <w:abstractNumId w:val="28"/>
  </w:num>
  <w:num w:numId="26">
    <w:abstractNumId w:val="20"/>
  </w:num>
  <w:num w:numId="27">
    <w:abstractNumId w:val="25"/>
  </w:num>
  <w:num w:numId="28">
    <w:abstractNumId w:val="30"/>
  </w:num>
  <w:num w:numId="29">
    <w:abstractNumId w:val="21"/>
  </w:num>
  <w:num w:numId="30">
    <w:abstractNumId w:val="36"/>
  </w:num>
  <w:num w:numId="31">
    <w:abstractNumId w:val="32"/>
  </w:num>
  <w:num w:numId="32">
    <w:abstractNumId w:val="43"/>
  </w:num>
  <w:num w:numId="33">
    <w:abstractNumId w:val="8"/>
  </w:num>
  <w:num w:numId="34">
    <w:abstractNumId w:val="12"/>
  </w:num>
  <w:num w:numId="35">
    <w:abstractNumId w:val="39"/>
  </w:num>
  <w:num w:numId="36">
    <w:abstractNumId w:val="4"/>
  </w:num>
  <w:num w:numId="37">
    <w:abstractNumId w:val="3"/>
  </w:num>
  <w:num w:numId="38">
    <w:abstractNumId w:val="16"/>
  </w:num>
  <w:num w:numId="39">
    <w:abstractNumId w:val="7"/>
  </w:num>
  <w:num w:numId="40">
    <w:abstractNumId w:val="33"/>
  </w:num>
  <w:num w:numId="41">
    <w:abstractNumId w:val="38"/>
  </w:num>
  <w:num w:numId="42">
    <w:abstractNumId w:val="44"/>
  </w:num>
  <w:num w:numId="43">
    <w:abstractNumId w:val="13"/>
  </w:num>
  <w:num w:numId="44">
    <w:abstractNumId w:val="27"/>
  </w:num>
  <w:num w:numId="45">
    <w:abstractNumId w:val="35"/>
  </w:num>
  <w:num w:numId="46">
    <w:abstractNumId w:val="2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1585"/>
    <w:rsid w:val="00002D80"/>
    <w:rsid w:val="000038A8"/>
    <w:rsid w:val="00003D12"/>
    <w:rsid w:val="00004A10"/>
    <w:rsid w:val="00004D8B"/>
    <w:rsid w:val="00005AAD"/>
    <w:rsid w:val="00005D7F"/>
    <w:rsid w:val="0000612E"/>
    <w:rsid w:val="0000683A"/>
    <w:rsid w:val="00006D3E"/>
    <w:rsid w:val="00011083"/>
    <w:rsid w:val="000119C0"/>
    <w:rsid w:val="00012A2A"/>
    <w:rsid w:val="00012D5C"/>
    <w:rsid w:val="00012E0D"/>
    <w:rsid w:val="00015737"/>
    <w:rsid w:val="00016452"/>
    <w:rsid w:val="00016BA0"/>
    <w:rsid w:val="00017D91"/>
    <w:rsid w:val="00021580"/>
    <w:rsid w:val="00022200"/>
    <w:rsid w:val="00022F79"/>
    <w:rsid w:val="00023420"/>
    <w:rsid w:val="00024555"/>
    <w:rsid w:val="00024667"/>
    <w:rsid w:val="000248D8"/>
    <w:rsid w:val="00024CA4"/>
    <w:rsid w:val="00024DA3"/>
    <w:rsid w:val="00030F6A"/>
    <w:rsid w:val="000311ED"/>
    <w:rsid w:val="00032E33"/>
    <w:rsid w:val="000337B8"/>
    <w:rsid w:val="0003397D"/>
    <w:rsid w:val="00034D1A"/>
    <w:rsid w:val="00036334"/>
    <w:rsid w:val="00040924"/>
    <w:rsid w:val="00041216"/>
    <w:rsid w:val="00041CE6"/>
    <w:rsid w:val="0004250C"/>
    <w:rsid w:val="00043ED1"/>
    <w:rsid w:val="00044215"/>
    <w:rsid w:val="00045239"/>
    <w:rsid w:val="0004544D"/>
    <w:rsid w:val="0004586A"/>
    <w:rsid w:val="00045CAF"/>
    <w:rsid w:val="00045DD8"/>
    <w:rsid w:val="00046833"/>
    <w:rsid w:val="00046EDB"/>
    <w:rsid w:val="000473C5"/>
    <w:rsid w:val="000478FE"/>
    <w:rsid w:val="00050114"/>
    <w:rsid w:val="00050937"/>
    <w:rsid w:val="00050AEA"/>
    <w:rsid w:val="00051646"/>
    <w:rsid w:val="00051D7C"/>
    <w:rsid w:val="0005654A"/>
    <w:rsid w:val="0005692B"/>
    <w:rsid w:val="00057323"/>
    <w:rsid w:val="0006168A"/>
    <w:rsid w:val="00061F26"/>
    <w:rsid w:val="00061FCE"/>
    <w:rsid w:val="000622DA"/>
    <w:rsid w:val="00062576"/>
    <w:rsid w:val="00062A74"/>
    <w:rsid w:val="00062E33"/>
    <w:rsid w:val="00064217"/>
    <w:rsid w:val="00064909"/>
    <w:rsid w:val="00065047"/>
    <w:rsid w:val="0006685F"/>
    <w:rsid w:val="00066ED7"/>
    <w:rsid w:val="00070D0C"/>
    <w:rsid w:val="00071BE8"/>
    <w:rsid w:val="0007265D"/>
    <w:rsid w:val="00072E66"/>
    <w:rsid w:val="00073418"/>
    <w:rsid w:val="0007511F"/>
    <w:rsid w:val="00075853"/>
    <w:rsid w:val="00075887"/>
    <w:rsid w:val="00075992"/>
    <w:rsid w:val="00081A68"/>
    <w:rsid w:val="00082919"/>
    <w:rsid w:val="000835E1"/>
    <w:rsid w:val="00083C41"/>
    <w:rsid w:val="0008451B"/>
    <w:rsid w:val="000864E9"/>
    <w:rsid w:val="0008772F"/>
    <w:rsid w:val="0009083B"/>
    <w:rsid w:val="00092072"/>
    <w:rsid w:val="000933C8"/>
    <w:rsid w:val="000935A2"/>
    <w:rsid w:val="00093E30"/>
    <w:rsid w:val="0009501F"/>
    <w:rsid w:val="00095A55"/>
    <w:rsid w:val="0009681B"/>
    <w:rsid w:val="00096BF8"/>
    <w:rsid w:val="00096F7C"/>
    <w:rsid w:val="000A6F38"/>
    <w:rsid w:val="000A7129"/>
    <w:rsid w:val="000B1157"/>
    <w:rsid w:val="000B2A96"/>
    <w:rsid w:val="000B2FC0"/>
    <w:rsid w:val="000B326F"/>
    <w:rsid w:val="000B391E"/>
    <w:rsid w:val="000B4E46"/>
    <w:rsid w:val="000B5BE0"/>
    <w:rsid w:val="000B6124"/>
    <w:rsid w:val="000C1AA6"/>
    <w:rsid w:val="000C25B8"/>
    <w:rsid w:val="000C2EA1"/>
    <w:rsid w:val="000C3C80"/>
    <w:rsid w:val="000C3E78"/>
    <w:rsid w:val="000C4297"/>
    <w:rsid w:val="000D09DE"/>
    <w:rsid w:val="000D2475"/>
    <w:rsid w:val="000D2901"/>
    <w:rsid w:val="000D3F6B"/>
    <w:rsid w:val="000D4CA2"/>
    <w:rsid w:val="000D5177"/>
    <w:rsid w:val="000E0832"/>
    <w:rsid w:val="000E0BF0"/>
    <w:rsid w:val="000E0D32"/>
    <w:rsid w:val="000E1DC7"/>
    <w:rsid w:val="000E33A7"/>
    <w:rsid w:val="000E4053"/>
    <w:rsid w:val="000E507D"/>
    <w:rsid w:val="000E66BC"/>
    <w:rsid w:val="000E6CF1"/>
    <w:rsid w:val="000E7556"/>
    <w:rsid w:val="000E7883"/>
    <w:rsid w:val="000E78CA"/>
    <w:rsid w:val="000F0202"/>
    <w:rsid w:val="000F0282"/>
    <w:rsid w:val="000F11AD"/>
    <w:rsid w:val="000F2345"/>
    <w:rsid w:val="000F3604"/>
    <w:rsid w:val="000F5653"/>
    <w:rsid w:val="000F63E2"/>
    <w:rsid w:val="000F70F2"/>
    <w:rsid w:val="00100473"/>
    <w:rsid w:val="00102205"/>
    <w:rsid w:val="00103D25"/>
    <w:rsid w:val="001048F9"/>
    <w:rsid w:val="00104DF9"/>
    <w:rsid w:val="00105183"/>
    <w:rsid w:val="00105617"/>
    <w:rsid w:val="001065D9"/>
    <w:rsid w:val="00106776"/>
    <w:rsid w:val="00106891"/>
    <w:rsid w:val="00106A3E"/>
    <w:rsid w:val="00107C73"/>
    <w:rsid w:val="00110001"/>
    <w:rsid w:val="0011042F"/>
    <w:rsid w:val="00110AE2"/>
    <w:rsid w:val="00111CC2"/>
    <w:rsid w:val="0011310F"/>
    <w:rsid w:val="00113521"/>
    <w:rsid w:val="0011668A"/>
    <w:rsid w:val="0011716F"/>
    <w:rsid w:val="00117C3D"/>
    <w:rsid w:val="00117C6C"/>
    <w:rsid w:val="00121C06"/>
    <w:rsid w:val="00122120"/>
    <w:rsid w:val="00122919"/>
    <w:rsid w:val="00122A62"/>
    <w:rsid w:val="00123125"/>
    <w:rsid w:val="001238B2"/>
    <w:rsid w:val="00123AC6"/>
    <w:rsid w:val="00125CE9"/>
    <w:rsid w:val="001268ED"/>
    <w:rsid w:val="00126B33"/>
    <w:rsid w:val="00127404"/>
    <w:rsid w:val="0012751C"/>
    <w:rsid w:val="001301C6"/>
    <w:rsid w:val="001311C2"/>
    <w:rsid w:val="00133096"/>
    <w:rsid w:val="00134549"/>
    <w:rsid w:val="00134A06"/>
    <w:rsid w:val="00134BAA"/>
    <w:rsid w:val="00136050"/>
    <w:rsid w:val="00137B7B"/>
    <w:rsid w:val="001402CE"/>
    <w:rsid w:val="00140F24"/>
    <w:rsid w:val="00142148"/>
    <w:rsid w:val="0014240F"/>
    <w:rsid w:val="00143174"/>
    <w:rsid w:val="0014355A"/>
    <w:rsid w:val="00144A33"/>
    <w:rsid w:val="00146A0D"/>
    <w:rsid w:val="00147A43"/>
    <w:rsid w:val="00150F94"/>
    <w:rsid w:val="0015160B"/>
    <w:rsid w:val="00152DFD"/>
    <w:rsid w:val="001531BC"/>
    <w:rsid w:val="00156520"/>
    <w:rsid w:val="001566C4"/>
    <w:rsid w:val="00156D9B"/>
    <w:rsid w:val="00157BDA"/>
    <w:rsid w:val="00157D88"/>
    <w:rsid w:val="00160223"/>
    <w:rsid w:val="00161BBA"/>
    <w:rsid w:val="00162F8C"/>
    <w:rsid w:val="00163402"/>
    <w:rsid w:val="00163FF3"/>
    <w:rsid w:val="00164EE9"/>
    <w:rsid w:val="001654EB"/>
    <w:rsid w:val="00166439"/>
    <w:rsid w:val="0016658C"/>
    <w:rsid w:val="00167F1B"/>
    <w:rsid w:val="00170284"/>
    <w:rsid w:val="0017170D"/>
    <w:rsid w:val="00171EC5"/>
    <w:rsid w:val="00172744"/>
    <w:rsid w:val="00173053"/>
    <w:rsid w:val="00173493"/>
    <w:rsid w:val="00174966"/>
    <w:rsid w:val="001757B3"/>
    <w:rsid w:val="001761C1"/>
    <w:rsid w:val="00177447"/>
    <w:rsid w:val="001804A7"/>
    <w:rsid w:val="00180AE2"/>
    <w:rsid w:val="00181456"/>
    <w:rsid w:val="00182487"/>
    <w:rsid w:val="0018259D"/>
    <w:rsid w:val="00182612"/>
    <w:rsid w:val="0018320D"/>
    <w:rsid w:val="00183EEE"/>
    <w:rsid w:val="001861C4"/>
    <w:rsid w:val="0018696D"/>
    <w:rsid w:val="0019099F"/>
    <w:rsid w:val="00192D27"/>
    <w:rsid w:val="00192DE9"/>
    <w:rsid w:val="001943B0"/>
    <w:rsid w:val="00195170"/>
    <w:rsid w:val="00196D49"/>
    <w:rsid w:val="00196F3F"/>
    <w:rsid w:val="001A0E48"/>
    <w:rsid w:val="001A23D2"/>
    <w:rsid w:val="001A455B"/>
    <w:rsid w:val="001A4F26"/>
    <w:rsid w:val="001A6521"/>
    <w:rsid w:val="001A7019"/>
    <w:rsid w:val="001A70CB"/>
    <w:rsid w:val="001A7E8A"/>
    <w:rsid w:val="001B0749"/>
    <w:rsid w:val="001B2199"/>
    <w:rsid w:val="001B5134"/>
    <w:rsid w:val="001C013A"/>
    <w:rsid w:val="001C10A4"/>
    <w:rsid w:val="001C23C1"/>
    <w:rsid w:val="001C2A5B"/>
    <w:rsid w:val="001C2F51"/>
    <w:rsid w:val="001C3631"/>
    <w:rsid w:val="001C3CB6"/>
    <w:rsid w:val="001C6386"/>
    <w:rsid w:val="001C763E"/>
    <w:rsid w:val="001C767D"/>
    <w:rsid w:val="001D0A3B"/>
    <w:rsid w:val="001D3758"/>
    <w:rsid w:val="001D67DE"/>
    <w:rsid w:val="001E0D31"/>
    <w:rsid w:val="001E16C7"/>
    <w:rsid w:val="001E176C"/>
    <w:rsid w:val="001E3991"/>
    <w:rsid w:val="001E3A2B"/>
    <w:rsid w:val="001E5290"/>
    <w:rsid w:val="001E597F"/>
    <w:rsid w:val="001E60E9"/>
    <w:rsid w:val="001E6212"/>
    <w:rsid w:val="001F1445"/>
    <w:rsid w:val="001F14E8"/>
    <w:rsid w:val="001F2F76"/>
    <w:rsid w:val="001F35CA"/>
    <w:rsid w:val="001F38EF"/>
    <w:rsid w:val="001F570C"/>
    <w:rsid w:val="001F6253"/>
    <w:rsid w:val="001F75FA"/>
    <w:rsid w:val="001F787B"/>
    <w:rsid w:val="001F7883"/>
    <w:rsid w:val="00200BF4"/>
    <w:rsid w:val="002015DB"/>
    <w:rsid w:val="0020181B"/>
    <w:rsid w:val="00201BB7"/>
    <w:rsid w:val="00202588"/>
    <w:rsid w:val="002048BD"/>
    <w:rsid w:val="00205BBD"/>
    <w:rsid w:val="00206699"/>
    <w:rsid w:val="00207358"/>
    <w:rsid w:val="002126B8"/>
    <w:rsid w:val="00216AD6"/>
    <w:rsid w:val="00217189"/>
    <w:rsid w:val="002173E7"/>
    <w:rsid w:val="00217E7E"/>
    <w:rsid w:val="00217FEC"/>
    <w:rsid w:val="002222E6"/>
    <w:rsid w:val="00224221"/>
    <w:rsid w:val="00224DA2"/>
    <w:rsid w:val="00225A35"/>
    <w:rsid w:val="00226B64"/>
    <w:rsid w:val="0022712F"/>
    <w:rsid w:val="00227D0E"/>
    <w:rsid w:val="00230D7A"/>
    <w:rsid w:val="00231159"/>
    <w:rsid w:val="00234F39"/>
    <w:rsid w:val="00235486"/>
    <w:rsid w:val="002354EF"/>
    <w:rsid w:val="0023739B"/>
    <w:rsid w:val="002421B6"/>
    <w:rsid w:val="00242397"/>
    <w:rsid w:val="002426C8"/>
    <w:rsid w:val="00242AE9"/>
    <w:rsid w:val="00243022"/>
    <w:rsid w:val="00243D81"/>
    <w:rsid w:val="00243DA3"/>
    <w:rsid w:val="00244FC1"/>
    <w:rsid w:val="0024558A"/>
    <w:rsid w:val="00245AC2"/>
    <w:rsid w:val="00245B05"/>
    <w:rsid w:val="00245D1B"/>
    <w:rsid w:val="002463C5"/>
    <w:rsid w:val="00246FBA"/>
    <w:rsid w:val="00247049"/>
    <w:rsid w:val="002475A2"/>
    <w:rsid w:val="00247BD1"/>
    <w:rsid w:val="00247C29"/>
    <w:rsid w:val="00247EB1"/>
    <w:rsid w:val="00247EB5"/>
    <w:rsid w:val="00250262"/>
    <w:rsid w:val="00250538"/>
    <w:rsid w:val="00255C77"/>
    <w:rsid w:val="0025787C"/>
    <w:rsid w:val="0026391F"/>
    <w:rsid w:val="002662A0"/>
    <w:rsid w:val="0026652B"/>
    <w:rsid w:val="00266A0A"/>
    <w:rsid w:val="002676D7"/>
    <w:rsid w:val="00267C91"/>
    <w:rsid w:val="00267E60"/>
    <w:rsid w:val="0027067C"/>
    <w:rsid w:val="00274E46"/>
    <w:rsid w:val="0027671F"/>
    <w:rsid w:val="002814EE"/>
    <w:rsid w:val="002817D8"/>
    <w:rsid w:val="00282849"/>
    <w:rsid w:val="00283000"/>
    <w:rsid w:val="002854CF"/>
    <w:rsid w:val="00286502"/>
    <w:rsid w:val="0028727D"/>
    <w:rsid w:val="00290080"/>
    <w:rsid w:val="0029195F"/>
    <w:rsid w:val="00291C07"/>
    <w:rsid w:val="00291C0E"/>
    <w:rsid w:val="00292204"/>
    <w:rsid w:val="00292C38"/>
    <w:rsid w:val="002936E0"/>
    <w:rsid w:val="002945D4"/>
    <w:rsid w:val="00294F75"/>
    <w:rsid w:val="002960B6"/>
    <w:rsid w:val="002A0C31"/>
    <w:rsid w:val="002A1882"/>
    <w:rsid w:val="002A472E"/>
    <w:rsid w:val="002A4F73"/>
    <w:rsid w:val="002A6D1B"/>
    <w:rsid w:val="002A6DFE"/>
    <w:rsid w:val="002A7085"/>
    <w:rsid w:val="002A7834"/>
    <w:rsid w:val="002B1D9A"/>
    <w:rsid w:val="002B1FBF"/>
    <w:rsid w:val="002B26C9"/>
    <w:rsid w:val="002B3305"/>
    <w:rsid w:val="002B38E7"/>
    <w:rsid w:val="002B51FC"/>
    <w:rsid w:val="002B655B"/>
    <w:rsid w:val="002C14D5"/>
    <w:rsid w:val="002C1955"/>
    <w:rsid w:val="002C1C54"/>
    <w:rsid w:val="002C2141"/>
    <w:rsid w:val="002C2C43"/>
    <w:rsid w:val="002C34F5"/>
    <w:rsid w:val="002C5256"/>
    <w:rsid w:val="002D04B2"/>
    <w:rsid w:val="002D1CAF"/>
    <w:rsid w:val="002D641F"/>
    <w:rsid w:val="002D72D9"/>
    <w:rsid w:val="002E04F9"/>
    <w:rsid w:val="002E0567"/>
    <w:rsid w:val="002E0A88"/>
    <w:rsid w:val="002E1915"/>
    <w:rsid w:val="002E2805"/>
    <w:rsid w:val="002E383E"/>
    <w:rsid w:val="002E7320"/>
    <w:rsid w:val="002F1C19"/>
    <w:rsid w:val="002F3907"/>
    <w:rsid w:val="002F4C27"/>
    <w:rsid w:val="002F61B6"/>
    <w:rsid w:val="002F638C"/>
    <w:rsid w:val="002F7CDE"/>
    <w:rsid w:val="00301251"/>
    <w:rsid w:val="00301372"/>
    <w:rsid w:val="00302A4A"/>
    <w:rsid w:val="0030304B"/>
    <w:rsid w:val="00303E2A"/>
    <w:rsid w:val="00303E49"/>
    <w:rsid w:val="00306771"/>
    <w:rsid w:val="00307046"/>
    <w:rsid w:val="003107B3"/>
    <w:rsid w:val="00311B8D"/>
    <w:rsid w:val="00313884"/>
    <w:rsid w:val="00313CC9"/>
    <w:rsid w:val="00314B6E"/>
    <w:rsid w:val="00315EF8"/>
    <w:rsid w:val="003164F5"/>
    <w:rsid w:val="003170E1"/>
    <w:rsid w:val="00317AE9"/>
    <w:rsid w:val="00317C0B"/>
    <w:rsid w:val="00325B9D"/>
    <w:rsid w:val="0033080F"/>
    <w:rsid w:val="00330AA6"/>
    <w:rsid w:val="0033109A"/>
    <w:rsid w:val="003314AB"/>
    <w:rsid w:val="00331500"/>
    <w:rsid w:val="00332E25"/>
    <w:rsid w:val="00334588"/>
    <w:rsid w:val="0033471F"/>
    <w:rsid w:val="00335528"/>
    <w:rsid w:val="0033680E"/>
    <w:rsid w:val="00336F7D"/>
    <w:rsid w:val="00340925"/>
    <w:rsid w:val="0034187D"/>
    <w:rsid w:val="003429CE"/>
    <w:rsid w:val="0034380B"/>
    <w:rsid w:val="0034437E"/>
    <w:rsid w:val="003447FB"/>
    <w:rsid w:val="00347D5B"/>
    <w:rsid w:val="0035047C"/>
    <w:rsid w:val="003519E3"/>
    <w:rsid w:val="00352333"/>
    <w:rsid w:val="00352793"/>
    <w:rsid w:val="00352AD0"/>
    <w:rsid w:val="003570F2"/>
    <w:rsid w:val="0035775F"/>
    <w:rsid w:val="00360266"/>
    <w:rsid w:val="003605A9"/>
    <w:rsid w:val="003605C4"/>
    <w:rsid w:val="003606C5"/>
    <w:rsid w:val="00365001"/>
    <w:rsid w:val="00365A4D"/>
    <w:rsid w:val="003663F8"/>
    <w:rsid w:val="00367713"/>
    <w:rsid w:val="00370646"/>
    <w:rsid w:val="00373293"/>
    <w:rsid w:val="00374315"/>
    <w:rsid w:val="00375488"/>
    <w:rsid w:val="003768E1"/>
    <w:rsid w:val="00380CBE"/>
    <w:rsid w:val="003847E5"/>
    <w:rsid w:val="00385D27"/>
    <w:rsid w:val="0038651D"/>
    <w:rsid w:val="0038750F"/>
    <w:rsid w:val="00391088"/>
    <w:rsid w:val="00391A4A"/>
    <w:rsid w:val="0039295B"/>
    <w:rsid w:val="00392DE4"/>
    <w:rsid w:val="00393C6B"/>
    <w:rsid w:val="003945B9"/>
    <w:rsid w:val="00394DDA"/>
    <w:rsid w:val="00395A77"/>
    <w:rsid w:val="00397D54"/>
    <w:rsid w:val="003A07CC"/>
    <w:rsid w:val="003A1B84"/>
    <w:rsid w:val="003A44BA"/>
    <w:rsid w:val="003A62F2"/>
    <w:rsid w:val="003A679B"/>
    <w:rsid w:val="003B30F0"/>
    <w:rsid w:val="003B3358"/>
    <w:rsid w:val="003B471D"/>
    <w:rsid w:val="003B5B85"/>
    <w:rsid w:val="003B7306"/>
    <w:rsid w:val="003B7F0A"/>
    <w:rsid w:val="003C24ED"/>
    <w:rsid w:val="003C2D3C"/>
    <w:rsid w:val="003C573F"/>
    <w:rsid w:val="003C5DEE"/>
    <w:rsid w:val="003C6824"/>
    <w:rsid w:val="003D22C1"/>
    <w:rsid w:val="003D2D8F"/>
    <w:rsid w:val="003D2F99"/>
    <w:rsid w:val="003D61D4"/>
    <w:rsid w:val="003D6285"/>
    <w:rsid w:val="003D6F88"/>
    <w:rsid w:val="003D7AA1"/>
    <w:rsid w:val="003D7E0A"/>
    <w:rsid w:val="003E0018"/>
    <w:rsid w:val="003E0723"/>
    <w:rsid w:val="003E131F"/>
    <w:rsid w:val="003E1FD8"/>
    <w:rsid w:val="003E2725"/>
    <w:rsid w:val="003E40E1"/>
    <w:rsid w:val="003E59C7"/>
    <w:rsid w:val="003E7B80"/>
    <w:rsid w:val="003F03D8"/>
    <w:rsid w:val="003F089D"/>
    <w:rsid w:val="003F1D1B"/>
    <w:rsid w:val="003F3708"/>
    <w:rsid w:val="003F7563"/>
    <w:rsid w:val="003F76C2"/>
    <w:rsid w:val="003F77B4"/>
    <w:rsid w:val="004004D5"/>
    <w:rsid w:val="004007F0"/>
    <w:rsid w:val="00401A10"/>
    <w:rsid w:val="00403699"/>
    <w:rsid w:val="00403B72"/>
    <w:rsid w:val="0040487A"/>
    <w:rsid w:val="004051FB"/>
    <w:rsid w:val="00405738"/>
    <w:rsid w:val="004063E0"/>
    <w:rsid w:val="004066FF"/>
    <w:rsid w:val="00406D5B"/>
    <w:rsid w:val="004105C9"/>
    <w:rsid w:val="00410B74"/>
    <w:rsid w:val="00411FCE"/>
    <w:rsid w:val="00413FDF"/>
    <w:rsid w:val="00415177"/>
    <w:rsid w:val="0041526C"/>
    <w:rsid w:val="00417D62"/>
    <w:rsid w:val="00417E6E"/>
    <w:rsid w:val="00420A32"/>
    <w:rsid w:val="00420BAB"/>
    <w:rsid w:val="004212EA"/>
    <w:rsid w:val="00421BE7"/>
    <w:rsid w:val="00422FE9"/>
    <w:rsid w:val="004265A6"/>
    <w:rsid w:val="004279BB"/>
    <w:rsid w:val="00430506"/>
    <w:rsid w:val="0043162D"/>
    <w:rsid w:val="00431A13"/>
    <w:rsid w:val="00431D1E"/>
    <w:rsid w:val="004321CA"/>
    <w:rsid w:val="00433216"/>
    <w:rsid w:val="004348AE"/>
    <w:rsid w:val="00434F71"/>
    <w:rsid w:val="00435C00"/>
    <w:rsid w:val="004378DC"/>
    <w:rsid w:val="004422DB"/>
    <w:rsid w:val="00442735"/>
    <w:rsid w:val="004434F2"/>
    <w:rsid w:val="0044350D"/>
    <w:rsid w:val="004462CC"/>
    <w:rsid w:val="00446768"/>
    <w:rsid w:val="00447B72"/>
    <w:rsid w:val="0045056A"/>
    <w:rsid w:val="0045201E"/>
    <w:rsid w:val="00452B22"/>
    <w:rsid w:val="00453CDE"/>
    <w:rsid w:val="00454C36"/>
    <w:rsid w:val="00457E77"/>
    <w:rsid w:val="004610DD"/>
    <w:rsid w:val="00461DA8"/>
    <w:rsid w:val="00463786"/>
    <w:rsid w:val="00463A56"/>
    <w:rsid w:val="00464305"/>
    <w:rsid w:val="004646F1"/>
    <w:rsid w:val="004648E9"/>
    <w:rsid w:val="00465616"/>
    <w:rsid w:val="00466F85"/>
    <w:rsid w:val="00467C5A"/>
    <w:rsid w:val="00470D57"/>
    <w:rsid w:val="004713BA"/>
    <w:rsid w:val="00472D9C"/>
    <w:rsid w:val="0047494B"/>
    <w:rsid w:val="004751F1"/>
    <w:rsid w:val="00475E66"/>
    <w:rsid w:val="004823D7"/>
    <w:rsid w:val="00482850"/>
    <w:rsid w:val="00486056"/>
    <w:rsid w:val="0048606A"/>
    <w:rsid w:val="00487109"/>
    <w:rsid w:val="00491DAB"/>
    <w:rsid w:val="00493D41"/>
    <w:rsid w:val="004945D6"/>
    <w:rsid w:val="00496793"/>
    <w:rsid w:val="00496F6A"/>
    <w:rsid w:val="004974D7"/>
    <w:rsid w:val="004A0F2B"/>
    <w:rsid w:val="004A3A1F"/>
    <w:rsid w:val="004A4379"/>
    <w:rsid w:val="004A79D5"/>
    <w:rsid w:val="004B2CD1"/>
    <w:rsid w:val="004B3310"/>
    <w:rsid w:val="004B45F3"/>
    <w:rsid w:val="004B4818"/>
    <w:rsid w:val="004B6A00"/>
    <w:rsid w:val="004B7FF8"/>
    <w:rsid w:val="004C027B"/>
    <w:rsid w:val="004C132D"/>
    <w:rsid w:val="004C1698"/>
    <w:rsid w:val="004C2CA8"/>
    <w:rsid w:val="004C2D7C"/>
    <w:rsid w:val="004C3029"/>
    <w:rsid w:val="004C3B22"/>
    <w:rsid w:val="004C4594"/>
    <w:rsid w:val="004C489F"/>
    <w:rsid w:val="004C580F"/>
    <w:rsid w:val="004C5A87"/>
    <w:rsid w:val="004C5AEB"/>
    <w:rsid w:val="004C5B4E"/>
    <w:rsid w:val="004C72FA"/>
    <w:rsid w:val="004D0AA6"/>
    <w:rsid w:val="004D1386"/>
    <w:rsid w:val="004D3B2D"/>
    <w:rsid w:val="004D47FA"/>
    <w:rsid w:val="004D6000"/>
    <w:rsid w:val="004E0607"/>
    <w:rsid w:val="004E0719"/>
    <w:rsid w:val="004E2429"/>
    <w:rsid w:val="004E3849"/>
    <w:rsid w:val="004E6EE2"/>
    <w:rsid w:val="004E7F06"/>
    <w:rsid w:val="004F0868"/>
    <w:rsid w:val="004F1495"/>
    <w:rsid w:val="004F3528"/>
    <w:rsid w:val="004F454D"/>
    <w:rsid w:val="004F4F9D"/>
    <w:rsid w:val="004F6B30"/>
    <w:rsid w:val="004F7ADA"/>
    <w:rsid w:val="0050011B"/>
    <w:rsid w:val="00501A9C"/>
    <w:rsid w:val="005045F0"/>
    <w:rsid w:val="00504AD6"/>
    <w:rsid w:val="005070D4"/>
    <w:rsid w:val="005071EF"/>
    <w:rsid w:val="0051331E"/>
    <w:rsid w:val="0051347A"/>
    <w:rsid w:val="00513E87"/>
    <w:rsid w:val="00514429"/>
    <w:rsid w:val="0051506F"/>
    <w:rsid w:val="005150DC"/>
    <w:rsid w:val="00516441"/>
    <w:rsid w:val="0051764C"/>
    <w:rsid w:val="005179E9"/>
    <w:rsid w:val="005209E5"/>
    <w:rsid w:val="00523E57"/>
    <w:rsid w:val="00524085"/>
    <w:rsid w:val="00526BAB"/>
    <w:rsid w:val="00532BF3"/>
    <w:rsid w:val="005335CB"/>
    <w:rsid w:val="00533987"/>
    <w:rsid w:val="00534124"/>
    <w:rsid w:val="00535F5C"/>
    <w:rsid w:val="005365A0"/>
    <w:rsid w:val="00541D37"/>
    <w:rsid w:val="00542C29"/>
    <w:rsid w:val="00543732"/>
    <w:rsid w:val="00543E46"/>
    <w:rsid w:val="005446C1"/>
    <w:rsid w:val="005455E1"/>
    <w:rsid w:val="00546210"/>
    <w:rsid w:val="005479C2"/>
    <w:rsid w:val="005503D4"/>
    <w:rsid w:val="0055043E"/>
    <w:rsid w:val="0055085B"/>
    <w:rsid w:val="0055186A"/>
    <w:rsid w:val="00552168"/>
    <w:rsid w:val="00553D51"/>
    <w:rsid w:val="00553ECA"/>
    <w:rsid w:val="00554FDB"/>
    <w:rsid w:val="00555562"/>
    <w:rsid w:val="00555CBB"/>
    <w:rsid w:val="0055641C"/>
    <w:rsid w:val="00556EF4"/>
    <w:rsid w:val="0056188C"/>
    <w:rsid w:val="00563792"/>
    <w:rsid w:val="00563866"/>
    <w:rsid w:val="00564901"/>
    <w:rsid w:val="0056618E"/>
    <w:rsid w:val="00567523"/>
    <w:rsid w:val="00567D8C"/>
    <w:rsid w:val="00567DF9"/>
    <w:rsid w:val="00570C54"/>
    <w:rsid w:val="005746BF"/>
    <w:rsid w:val="00576605"/>
    <w:rsid w:val="00577705"/>
    <w:rsid w:val="005804B5"/>
    <w:rsid w:val="00583DF4"/>
    <w:rsid w:val="005842DD"/>
    <w:rsid w:val="0058582A"/>
    <w:rsid w:val="00591F76"/>
    <w:rsid w:val="0059384F"/>
    <w:rsid w:val="00595476"/>
    <w:rsid w:val="00595DBE"/>
    <w:rsid w:val="0059615C"/>
    <w:rsid w:val="00596474"/>
    <w:rsid w:val="005973E1"/>
    <w:rsid w:val="00597DD9"/>
    <w:rsid w:val="005A0ACF"/>
    <w:rsid w:val="005A15BA"/>
    <w:rsid w:val="005A7F8C"/>
    <w:rsid w:val="005B0429"/>
    <w:rsid w:val="005B06BD"/>
    <w:rsid w:val="005B0E73"/>
    <w:rsid w:val="005B195C"/>
    <w:rsid w:val="005B3B7D"/>
    <w:rsid w:val="005B4B5A"/>
    <w:rsid w:val="005B54EC"/>
    <w:rsid w:val="005B77FA"/>
    <w:rsid w:val="005C1C5F"/>
    <w:rsid w:val="005C244C"/>
    <w:rsid w:val="005C43D7"/>
    <w:rsid w:val="005C4C86"/>
    <w:rsid w:val="005C542B"/>
    <w:rsid w:val="005C5914"/>
    <w:rsid w:val="005C5F5D"/>
    <w:rsid w:val="005C697C"/>
    <w:rsid w:val="005C7250"/>
    <w:rsid w:val="005D0894"/>
    <w:rsid w:val="005D1C72"/>
    <w:rsid w:val="005D1CC7"/>
    <w:rsid w:val="005D2787"/>
    <w:rsid w:val="005D3848"/>
    <w:rsid w:val="005D3916"/>
    <w:rsid w:val="005D56FB"/>
    <w:rsid w:val="005D5881"/>
    <w:rsid w:val="005D5E7E"/>
    <w:rsid w:val="005D631F"/>
    <w:rsid w:val="005D6432"/>
    <w:rsid w:val="005D6987"/>
    <w:rsid w:val="005D76AA"/>
    <w:rsid w:val="005E07E4"/>
    <w:rsid w:val="005E3394"/>
    <w:rsid w:val="005E34F0"/>
    <w:rsid w:val="005E4DD3"/>
    <w:rsid w:val="005E7F5B"/>
    <w:rsid w:val="005F0F80"/>
    <w:rsid w:val="005F0FCC"/>
    <w:rsid w:val="005F15D9"/>
    <w:rsid w:val="005F2ECF"/>
    <w:rsid w:val="005F2F8F"/>
    <w:rsid w:val="005F3674"/>
    <w:rsid w:val="005F3947"/>
    <w:rsid w:val="005F3BD8"/>
    <w:rsid w:val="005F3C10"/>
    <w:rsid w:val="005F592E"/>
    <w:rsid w:val="0060018B"/>
    <w:rsid w:val="00602BE0"/>
    <w:rsid w:val="00603D19"/>
    <w:rsid w:val="00603DAF"/>
    <w:rsid w:val="00604AF6"/>
    <w:rsid w:val="006057D0"/>
    <w:rsid w:val="0060623A"/>
    <w:rsid w:val="006108AD"/>
    <w:rsid w:val="00610BD0"/>
    <w:rsid w:val="00614240"/>
    <w:rsid w:val="00615CD5"/>
    <w:rsid w:val="00617330"/>
    <w:rsid w:val="00617FF4"/>
    <w:rsid w:val="006209A2"/>
    <w:rsid w:val="00621B02"/>
    <w:rsid w:val="00623907"/>
    <w:rsid w:val="00624AAC"/>
    <w:rsid w:val="00625115"/>
    <w:rsid w:val="00626DC7"/>
    <w:rsid w:val="006303E8"/>
    <w:rsid w:val="006320A1"/>
    <w:rsid w:val="00632725"/>
    <w:rsid w:val="00632C9D"/>
    <w:rsid w:val="00635B02"/>
    <w:rsid w:val="006375AA"/>
    <w:rsid w:val="00640093"/>
    <w:rsid w:val="0064167E"/>
    <w:rsid w:val="00641FE9"/>
    <w:rsid w:val="00642AFB"/>
    <w:rsid w:val="006458E7"/>
    <w:rsid w:val="0064640C"/>
    <w:rsid w:val="0064665F"/>
    <w:rsid w:val="00647878"/>
    <w:rsid w:val="00647A8A"/>
    <w:rsid w:val="00647BD1"/>
    <w:rsid w:val="00650FCE"/>
    <w:rsid w:val="00654165"/>
    <w:rsid w:val="00654AB7"/>
    <w:rsid w:val="00655593"/>
    <w:rsid w:val="0065595A"/>
    <w:rsid w:val="006560CF"/>
    <w:rsid w:val="006609A4"/>
    <w:rsid w:val="00660D90"/>
    <w:rsid w:val="006613F1"/>
    <w:rsid w:val="00661B3E"/>
    <w:rsid w:val="0066216D"/>
    <w:rsid w:val="00663584"/>
    <w:rsid w:val="00663E96"/>
    <w:rsid w:val="00664DC6"/>
    <w:rsid w:val="00667AD0"/>
    <w:rsid w:val="00670D2A"/>
    <w:rsid w:val="00671121"/>
    <w:rsid w:val="0067166F"/>
    <w:rsid w:val="00671B57"/>
    <w:rsid w:val="00672500"/>
    <w:rsid w:val="0067324F"/>
    <w:rsid w:val="00674CFF"/>
    <w:rsid w:val="00675341"/>
    <w:rsid w:val="00676F94"/>
    <w:rsid w:val="0068107E"/>
    <w:rsid w:val="006812EE"/>
    <w:rsid w:val="00681C95"/>
    <w:rsid w:val="00681CA0"/>
    <w:rsid w:val="0068483D"/>
    <w:rsid w:val="00685297"/>
    <w:rsid w:val="0068766C"/>
    <w:rsid w:val="006901FF"/>
    <w:rsid w:val="00690D75"/>
    <w:rsid w:val="0069237B"/>
    <w:rsid w:val="0069513A"/>
    <w:rsid w:val="00695564"/>
    <w:rsid w:val="00697320"/>
    <w:rsid w:val="006976E7"/>
    <w:rsid w:val="006A0A88"/>
    <w:rsid w:val="006A7F19"/>
    <w:rsid w:val="006B137F"/>
    <w:rsid w:val="006B209E"/>
    <w:rsid w:val="006B2874"/>
    <w:rsid w:val="006B4435"/>
    <w:rsid w:val="006B4CCD"/>
    <w:rsid w:val="006B656E"/>
    <w:rsid w:val="006B6DB1"/>
    <w:rsid w:val="006C05CA"/>
    <w:rsid w:val="006C0F6F"/>
    <w:rsid w:val="006C22F4"/>
    <w:rsid w:val="006C358C"/>
    <w:rsid w:val="006C407C"/>
    <w:rsid w:val="006C7BC8"/>
    <w:rsid w:val="006D1084"/>
    <w:rsid w:val="006D12CD"/>
    <w:rsid w:val="006D20FF"/>
    <w:rsid w:val="006D3937"/>
    <w:rsid w:val="006D4E8F"/>
    <w:rsid w:val="006D594B"/>
    <w:rsid w:val="006D7A3E"/>
    <w:rsid w:val="006E1F1F"/>
    <w:rsid w:val="006E3770"/>
    <w:rsid w:val="006E67DA"/>
    <w:rsid w:val="006F04F0"/>
    <w:rsid w:val="006F3C3D"/>
    <w:rsid w:val="006F59BC"/>
    <w:rsid w:val="006F6318"/>
    <w:rsid w:val="006F6515"/>
    <w:rsid w:val="006F6813"/>
    <w:rsid w:val="006F7863"/>
    <w:rsid w:val="00700665"/>
    <w:rsid w:val="00700D3B"/>
    <w:rsid w:val="00700DE5"/>
    <w:rsid w:val="0070112C"/>
    <w:rsid w:val="0070118E"/>
    <w:rsid w:val="00701ECA"/>
    <w:rsid w:val="00705023"/>
    <w:rsid w:val="007104A8"/>
    <w:rsid w:val="00711EAF"/>
    <w:rsid w:val="00712846"/>
    <w:rsid w:val="00712C06"/>
    <w:rsid w:val="00712FEF"/>
    <w:rsid w:val="007143D1"/>
    <w:rsid w:val="00717D9B"/>
    <w:rsid w:val="00720B72"/>
    <w:rsid w:val="00724253"/>
    <w:rsid w:val="00724D55"/>
    <w:rsid w:val="00724F72"/>
    <w:rsid w:val="00725D5B"/>
    <w:rsid w:val="0072794D"/>
    <w:rsid w:val="007300B6"/>
    <w:rsid w:val="00731659"/>
    <w:rsid w:val="00731BE5"/>
    <w:rsid w:val="00731E32"/>
    <w:rsid w:val="00731F18"/>
    <w:rsid w:val="007328F2"/>
    <w:rsid w:val="00732DF7"/>
    <w:rsid w:val="00733C68"/>
    <w:rsid w:val="00733ED8"/>
    <w:rsid w:val="00733F3C"/>
    <w:rsid w:val="007344A3"/>
    <w:rsid w:val="007354D5"/>
    <w:rsid w:val="00736160"/>
    <w:rsid w:val="0073683B"/>
    <w:rsid w:val="00736993"/>
    <w:rsid w:val="007369F1"/>
    <w:rsid w:val="00740643"/>
    <w:rsid w:val="0074096B"/>
    <w:rsid w:val="00740FAC"/>
    <w:rsid w:val="00741F6A"/>
    <w:rsid w:val="00741FF5"/>
    <w:rsid w:val="00742294"/>
    <w:rsid w:val="0074256A"/>
    <w:rsid w:val="007429FF"/>
    <w:rsid w:val="00742D95"/>
    <w:rsid w:val="00743E80"/>
    <w:rsid w:val="007456EB"/>
    <w:rsid w:val="007458B9"/>
    <w:rsid w:val="00746BAD"/>
    <w:rsid w:val="00747433"/>
    <w:rsid w:val="0075025F"/>
    <w:rsid w:val="0075047A"/>
    <w:rsid w:val="00750692"/>
    <w:rsid w:val="00750877"/>
    <w:rsid w:val="007518DF"/>
    <w:rsid w:val="007533F0"/>
    <w:rsid w:val="007543C1"/>
    <w:rsid w:val="007544A2"/>
    <w:rsid w:val="007554CF"/>
    <w:rsid w:val="00756150"/>
    <w:rsid w:val="0075709B"/>
    <w:rsid w:val="00760483"/>
    <w:rsid w:val="00762A5E"/>
    <w:rsid w:val="007654C9"/>
    <w:rsid w:val="00766AB5"/>
    <w:rsid w:val="00766C05"/>
    <w:rsid w:val="00766D2F"/>
    <w:rsid w:val="00771FE9"/>
    <w:rsid w:val="007736EF"/>
    <w:rsid w:val="007755DF"/>
    <w:rsid w:val="00775CBA"/>
    <w:rsid w:val="007770F7"/>
    <w:rsid w:val="007776D1"/>
    <w:rsid w:val="0078119E"/>
    <w:rsid w:val="00782601"/>
    <w:rsid w:val="00782C76"/>
    <w:rsid w:val="007833DC"/>
    <w:rsid w:val="00785115"/>
    <w:rsid w:val="007852BA"/>
    <w:rsid w:val="007854C7"/>
    <w:rsid w:val="007854E3"/>
    <w:rsid w:val="00785E23"/>
    <w:rsid w:val="0078618D"/>
    <w:rsid w:val="00790278"/>
    <w:rsid w:val="0079097B"/>
    <w:rsid w:val="00791BCA"/>
    <w:rsid w:val="00791D1C"/>
    <w:rsid w:val="0079225A"/>
    <w:rsid w:val="007940E2"/>
    <w:rsid w:val="007A0E02"/>
    <w:rsid w:val="007A1B23"/>
    <w:rsid w:val="007A28DE"/>
    <w:rsid w:val="007A4753"/>
    <w:rsid w:val="007A54B2"/>
    <w:rsid w:val="007A654D"/>
    <w:rsid w:val="007A67BB"/>
    <w:rsid w:val="007A7506"/>
    <w:rsid w:val="007B2AF2"/>
    <w:rsid w:val="007B2B03"/>
    <w:rsid w:val="007B4B68"/>
    <w:rsid w:val="007B6D2D"/>
    <w:rsid w:val="007C1F19"/>
    <w:rsid w:val="007C22BE"/>
    <w:rsid w:val="007C3143"/>
    <w:rsid w:val="007C3E7E"/>
    <w:rsid w:val="007C5877"/>
    <w:rsid w:val="007C7FB9"/>
    <w:rsid w:val="007D1202"/>
    <w:rsid w:val="007D1A48"/>
    <w:rsid w:val="007D216D"/>
    <w:rsid w:val="007D3A6D"/>
    <w:rsid w:val="007D4462"/>
    <w:rsid w:val="007D48FD"/>
    <w:rsid w:val="007D4EF9"/>
    <w:rsid w:val="007D5425"/>
    <w:rsid w:val="007D5DA8"/>
    <w:rsid w:val="007D5DE1"/>
    <w:rsid w:val="007D6201"/>
    <w:rsid w:val="007D70D2"/>
    <w:rsid w:val="007E20DF"/>
    <w:rsid w:val="007E3300"/>
    <w:rsid w:val="007E33CC"/>
    <w:rsid w:val="007E3AAC"/>
    <w:rsid w:val="007E4633"/>
    <w:rsid w:val="007E48E5"/>
    <w:rsid w:val="007E654B"/>
    <w:rsid w:val="007E6952"/>
    <w:rsid w:val="007E70AF"/>
    <w:rsid w:val="007F187A"/>
    <w:rsid w:val="007F1E88"/>
    <w:rsid w:val="007F2733"/>
    <w:rsid w:val="007F291A"/>
    <w:rsid w:val="007F5362"/>
    <w:rsid w:val="007F5E4E"/>
    <w:rsid w:val="007F6062"/>
    <w:rsid w:val="007F67F9"/>
    <w:rsid w:val="007F78C3"/>
    <w:rsid w:val="00801121"/>
    <w:rsid w:val="0080179A"/>
    <w:rsid w:val="0080436E"/>
    <w:rsid w:val="00805572"/>
    <w:rsid w:val="00805943"/>
    <w:rsid w:val="0080645E"/>
    <w:rsid w:val="008065EC"/>
    <w:rsid w:val="008076FE"/>
    <w:rsid w:val="00807E25"/>
    <w:rsid w:val="00810566"/>
    <w:rsid w:val="00813241"/>
    <w:rsid w:val="00813EA8"/>
    <w:rsid w:val="008140DF"/>
    <w:rsid w:val="0081411B"/>
    <w:rsid w:val="00817E7D"/>
    <w:rsid w:val="00817FB4"/>
    <w:rsid w:val="008203A3"/>
    <w:rsid w:val="00820435"/>
    <w:rsid w:val="008207B0"/>
    <w:rsid w:val="00822198"/>
    <w:rsid w:val="00822995"/>
    <w:rsid w:val="00823AB1"/>
    <w:rsid w:val="00826146"/>
    <w:rsid w:val="00826D56"/>
    <w:rsid w:val="00835D0F"/>
    <w:rsid w:val="008363C6"/>
    <w:rsid w:val="0084015A"/>
    <w:rsid w:val="008416B4"/>
    <w:rsid w:val="00842561"/>
    <w:rsid w:val="008436D8"/>
    <w:rsid w:val="008439A7"/>
    <w:rsid w:val="00843FAC"/>
    <w:rsid w:val="0084529F"/>
    <w:rsid w:val="00845448"/>
    <w:rsid w:val="008455CF"/>
    <w:rsid w:val="0084582F"/>
    <w:rsid w:val="00845A40"/>
    <w:rsid w:val="00853593"/>
    <w:rsid w:val="00854497"/>
    <w:rsid w:val="0085531B"/>
    <w:rsid w:val="00857086"/>
    <w:rsid w:val="00862128"/>
    <w:rsid w:val="00863FFE"/>
    <w:rsid w:val="008641DE"/>
    <w:rsid w:val="0086422D"/>
    <w:rsid w:val="00864466"/>
    <w:rsid w:val="00865014"/>
    <w:rsid w:val="008652D9"/>
    <w:rsid w:val="0086595C"/>
    <w:rsid w:val="00865BE0"/>
    <w:rsid w:val="00866F8C"/>
    <w:rsid w:val="008671B6"/>
    <w:rsid w:val="008678AB"/>
    <w:rsid w:val="0087168F"/>
    <w:rsid w:val="008729BD"/>
    <w:rsid w:val="0087339C"/>
    <w:rsid w:val="00873519"/>
    <w:rsid w:val="00873525"/>
    <w:rsid w:val="00874D35"/>
    <w:rsid w:val="0087513E"/>
    <w:rsid w:val="00876FDB"/>
    <w:rsid w:val="0088091B"/>
    <w:rsid w:val="0088136E"/>
    <w:rsid w:val="00881DA9"/>
    <w:rsid w:val="00886B80"/>
    <w:rsid w:val="0088749F"/>
    <w:rsid w:val="00887648"/>
    <w:rsid w:val="00890649"/>
    <w:rsid w:val="00891505"/>
    <w:rsid w:val="00891D63"/>
    <w:rsid w:val="00891EE9"/>
    <w:rsid w:val="00892440"/>
    <w:rsid w:val="008925C7"/>
    <w:rsid w:val="00892F61"/>
    <w:rsid w:val="00893293"/>
    <w:rsid w:val="00893D47"/>
    <w:rsid w:val="00893F79"/>
    <w:rsid w:val="00895D29"/>
    <w:rsid w:val="0089771B"/>
    <w:rsid w:val="00897E39"/>
    <w:rsid w:val="008A05C2"/>
    <w:rsid w:val="008A1957"/>
    <w:rsid w:val="008A19EA"/>
    <w:rsid w:val="008A215E"/>
    <w:rsid w:val="008A22CB"/>
    <w:rsid w:val="008A449D"/>
    <w:rsid w:val="008A5A0F"/>
    <w:rsid w:val="008A686E"/>
    <w:rsid w:val="008A7734"/>
    <w:rsid w:val="008A79C5"/>
    <w:rsid w:val="008A7CD4"/>
    <w:rsid w:val="008B0404"/>
    <w:rsid w:val="008B1BB5"/>
    <w:rsid w:val="008B39ED"/>
    <w:rsid w:val="008B4788"/>
    <w:rsid w:val="008B56B7"/>
    <w:rsid w:val="008B5B8D"/>
    <w:rsid w:val="008C1897"/>
    <w:rsid w:val="008C19FA"/>
    <w:rsid w:val="008C3295"/>
    <w:rsid w:val="008C3B60"/>
    <w:rsid w:val="008C57BA"/>
    <w:rsid w:val="008C5B60"/>
    <w:rsid w:val="008C6474"/>
    <w:rsid w:val="008C78E2"/>
    <w:rsid w:val="008C79CD"/>
    <w:rsid w:val="008D00C0"/>
    <w:rsid w:val="008D171F"/>
    <w:rsid w:val="008D189E"/>
    <w:rsid w:val="008D1B98"/>
    <w:rsid w:val="008D365F"/>
    <w:rsid w:val="008D3863"/>
    <w:rsid w:val="008D3B4B"/>
    <w:rsid w:val="008D3DA8"/>
    <w:rsid w:val="008D7A7F"/>
    <w:rsid w:val="008E1047"/>
    <w:rsid w:val="008E27E4"/>
    <w:rsid w:val="008E3460"/>
    <w:rsid w:val="008E4196"/>
    <w:rsid w:val="008E470A"/>
    <w:rsid w:val="008E4A59"/>
    <w:rsid w:val="008E60EA"/>
    <w:rsid w:val="008E60F8"/>
    <w:rsid w:val="008E653B"/>
    <w:rsid w:val="008E671B"/>
    <w:rsid w:val="008E6A7F"/>
    <w:rsid w:val="008E6CE4"/>
    <w:rsid w:val="008E7B9D"/>
    <w:rsid w:val="008E7D7E"/>
    <w:rsid w:val="008F11A4"/>
    <w:rsid w:val="008F1641"/>
    <w:rsid w:val="008F1D11"/>
    <w:rsid w:val="008F26AE"/>
    <w:rsid w:val="008F2ADC"/>
    <w:rsid w:val="008F48F2"/>
    <w:rsid w:val="008F5363"/>
    <w:rsid w:val="008F76C4"/>
    <w:rsid w:val="0090017E"/>
    <w:rsid w:val="00900543"/>
    <w:rsid w:val="00901417"/>
    <w:rsid w:val="00901658"/>
    <w:rsid w:val="009017B9"/>
    <w:rsid w:val="0090307C"/>
    <w:rsid w:val="009030C6"/>
    <w:rsid w:val="0090450C"/>
    <w:rsid w:val="00904C26"/>
    <w:rsid w:val="009051CB"/>
    <w:rsid w:val="00907F83"/>
    <w:rsid w:val="00910746"/>
    <w:rsid w:val="00913355"/>
    <w:rsid w:val="00915844"/>
    <w:rsid w:val="00915F1D"/>
    <w:rsid w:val="00916926"/>
    <w:rsid w:val="00916F3F"/>
    <w:rsid w:val="00920430"/>
    <w:rsid w:val="00921FE8"/>
    <w:rsid w:val="00923194"/>
    <w:rsid w:val="00923C29"/>
    <w:rsid w:val="00923EE6"/>
    <w:rsid w:val="00926ADC"/>
    <w:rsid w:val="00927270"/>
    <w:rsid w:val="0093038E"/>
    <w:rsid w:val="009304ED"/>
    <w:rsid w:val="009326F4"/>
    <w:rsid w:val="00932B7E"/>
    <w:rsid w:val="00932EF3"/>
    <w:rsid w:val="009331EB"/>
    <w:rsid w:val="0093350A"/>
    <w:rsid w:val="00935241"/>
    <w:rsid w:val="0093721A"/>
    <w:rsid w:val="00937E7F"/>
    <w:rsid w:val="009426CA"/>
    <w:rsid w:val="009436DB"/>
    <w:rsid w:val="00943715"/>
    <w:rsid w:val="00943DC1"/>
    <w:rsid w:val="00944B2C"/>
    <w:rsid w:val="00944BB1"/>
    <w:rsid w:val="009467E0"/>
    <w:rsid w:val="00946B2F"/>
    <w:rsid w:val="00947FA3"/>
    <w:rsid w:val="0095157D"/>
    <w:rsid w:val="009529F2"/>
    <w:rsid w:val="00954C4B"/>
    <w:rsid w:val="00955FA6"/>
    <w:rsid w:val="00956578"/>
    <w:rsid w:val="00956A92"/>
    <w:rsid w:val="00956EBC"/>
    <w:rsid w:val="00960990"/>
    <w:rsid w:val="00961B99"/>
    <w:rsid w:val="009624AB"/>
    <w:rsid w:val="00962CE0"/>
    <w:rsid w:val="0096352D"/>
    <w:rsid w:val="00964F06"/>
    <w:rsid w:val="00966606"/>
    <w:rsid w:val="00966901"/>
    <w:rsid w:val="00970ED6"/>
    <w:rsid w:val="00971B9C"/>
    <w:rsid w:val="009759A4"/>
    <w:rsid w:val="00977B8C"/>
    <w:rsid w:val="0098108E"/>
    <w:rsid w:val="009837F8"/>
    <w:rsid w:val="00984541"/>
    <w:rsid w:val="00986B9D"/>
    <w:rsid w:val="0098743E"/>
    <w:rsid w:val="00990B24"/>
    <w:rsid w:val="00991868"/>
    <w:rsid w:val="00991E21"/>
    <w:rsid w:val="00991FBF"/>
    <w:rsid w:val="009930B7"/>
    <w:rsid w:val="00993DFD"/>
    <w:rsid w:val="0099493B"/>
    <w:rsid w:val="00995597"/>
    <w:rsid w:val="009956E0"/>
    <w:rsid w:val="00995995"/>
    <w:rsid w:val="00996DE4"/>
    <w:rsid w:val="00997F5B"/>
    <w:rsid w:val="009A42CC"/>
    <w:rsid w:val="009A506F"/>
    <w:rsid w:val="009A563A"/>
    <w:rsid w:val="009B01A0"/>
    <w:rsid w:val="009B152F"/>
    <w:rsid w:val="009B408D"/>
    <w:rsid w:val="009B4C57"/>
    <w:rsid w:val="009B4F29"/>
    <w:rsid w:val="009B5732"/>
    <w:rsid w:val="009B5895"/>
    <w:rsid w:val="009B5A69"/>
    <w:rsid w:val="009B6A4E"/>
    <w:rsid w:val="009C3FD8"/>
    <w:rsid w:val="009C4701"/>
    <w:rsid w:val="009C4DA4"/>
    <w:rsid w:val="009C69E3"/>
    <w:rsid w:val="009C6C1C"/>
    <w:rsid w:val="009C7C3C"/>
    <w:rsid w:val="009D2A44"/>
    <w:rsid w:val="009D3A8D"/>
    <w:rsid w:val="009D5116"/>
    <w:rsid w:val="009D59F9"/>
    <w:rsid w:val="009D6E61"/>
    <w:rsid w:val="009D7FF3"/>
    <w:rsid w:val="009E19E9"/>
    <w:rsid w:val="009E26E6"/>
    <w:rsid w:val="009E4058"/>
    <w:rsid w:val="009E4605"/>
    <w:rsid w:val="009E470E"/>
    <w:rsid w:val="009E4D79"/>
    <w:rsid w:val="009E4E1F"/>
    <w:rsid w:val="009F25FF"/>
    <w:rsid w:val="009F2878"/>
    <w:rsid w:val="009F2C45"/>
    <w:rsid w:val="009F31C8"/>
    <w:rsid w:val="009F61E6"/>
    <w:rsid w:val="009F6FCE"/>
    <w:rsid w:val="00A00FA6"/>
    <w:rsid w:val="00A014F1"/>
    <w:rsid w:val="00A01AAD"/>
    <w:rsid w:val="00A02375"/>
    <w:rsid w:val="00A0242A"/>
    <w:rsid w:val="00A04783"/>
    <w:rsid w:val="00A052BB"/>
    <w:rsid w:val="00A057F9"/>
    <w:rsid w:val="00A069CD"/>
    <w:rsid w:val="00A06DC2"/>
    <w:rsid w:val="00A06FEA"/>
    <w:rsid w:val="00A119BC"/>
    <w:rsid w:val="00A14895"/>
    <w:rsid w:val="00A14D21"/>
    <w:rsid w:val="00A1578B"/>
    <w:rsid w:val="00A158FA"/>
    <w:rsid w:val="00A15A31"/>
    <w:rsid w:val="00A1670B"/>
    <w:rsid w:val="00A16E07"/>
    <w:rsid w:val="00A20046"/>
    <w:rsid w:val="00A208A7"/>
    <w:rsid w:val="00A210A6"/>
    <w:rsid w:val="00A21789"/>
    <w:rsid w:val="00A247CA"/>
    <w:rsid w:val="00A24DA3"/>
    <w:rsid w:val="00A25BAF"/>
    <w:rsid w:val="00A269A1"/>
    <w:rsid w:val="00A300F9"/>
    <w:rsid w:val="00A309EA"/>
    <w:rsid w:val="00A31BE5"/>
    <w:rsid w:val="00A343BB"/>
    <w:rsid w:val="00A34D3D"/>
    <w:rsid w:val="00A37B16"/>
    <w:rsid w:val="00A412D8"/>
    <w:rsid w:val="00A4181C"/>
    <w:rsid w:val="00A424D7"/>
    <w:rsid w:val="00A440BD"/>
    <w:rsid w:val="00A4562F"/>
    <w:rsid w:val="00A45701"/>
    <w:rsid w:val="00A46354"/>
    <w:rsid w:val="00A46787"/>
    <w:rsid w:val="00A50152"/>
    <w:rsid w:val="00A50306"/>
    <w:rsid w:val="00A50DAC"/>
    <w:rsid w:val="00A51977"/>
    <w:rsid w:val="00A51BCB"/>
    <w:rsid w:val="00A51E2D"/>
    <w:rsid w:val="00A54ACB"/>
    <w:rsid w:val="00A56960"/>
    <w:rsid w:val="00A56A92"/>
    <w:rsid w:val="00A56DF1"/>
    <w:rsid w:val="00A60E91"/>
    <w:rsid w:val="00A631D6"/>
    <w:rsid w:val="00A63C0C"/>
    <w:rsid w:val="00A63E02"/>
    <w:rsid w:val="00A641AC"/>
    <w:rsid w:val="00A648B8"/>
    <w:rsid w:val="00A652E2"/>
    <w:rsid w:val="00A6595C"/>
    <w:rsid w:val="00A65DAE"/>
    <w:rsid w:val="00A65FAC"/>
    <w:rsid w:val="00A67EB5"/>
    <w:rsid w:val="00A7096E"/>
    <w:rsid w:val="00A71EC5"/>
    <w:rsid w:val="00A723A4"/>
    <w:rsid w:val="00A7429D"/>
    <w:rsid w:val="00A746CC"/>
    <w:rsid w:val="00A7704C"/>
    <w:rsid w:val="00A779B2"/>
    <w:rsid w:val="00A77F53"/>
    <w:rsid w:val="00A8373D"/>
    <w:rsid w:val="00A84920"/>
    <w:rsid w:val="00A84E85"/>
    <w:rsid w:val="00A85002"/>
    <w:rsid w:val="00A906F4"/>
    <w:rsid w:val="00A90C17"/>
    <w:rsid w:val="00A90D60"/>
    <w:rsid w:val="00A92208"/>
    <w:rsid w:val="00A922EB"/>
    <w:rsid w:val="00A93235"/>
    <w:rsid w:val="00A933EC"/>
    <w:rsid w:val="00A9347C"/>
    <w:rsid w:val="00A95426"/>
    <w:rsid w:val="00A95C93"/>
    <w:rsid w:val="00A961C1"/>
    <w:rsid w:val="00A97296"/>
    <w:rsid w:val="00A975CB"/>
    <w:rsid w:val="00A9787A"/>
    <w:rsid w:val="00A97ABC"/>
    <w:rsid w:val="00A97ECC"/>
    <w:rsid w:val="00AA1345"/>
    <w:rsid w:val="00AA36DE"/>
    <w:rsid w:val="00AA3FD3"/>
    <w:rsid w:val="00AA43A8"/>
    <w:rsid w:val="00AA4B69"/>
    <w:rsid w:val="00AA78EC"/>
    <w:rsid w:val="00AB1D80"/>
    <w:rsid w:val="00AB30D7"/>
    <w:rsid w:val="00AB3BBD"/>
    <w:rsid w:val="00AB3FFA"/>
    <w:rsid w:val="00AB5917"/>
    <w:rsid w:val="00AB5F6C"/>
    <w:rsid w:val="00AB61A7"/>
    <w:rsid w:val="00AB7694"/>
    <w:rsid w:val="00AC0C67"/>
    <w:rsid w:val="00AC0F47"/>
    <w:rsid w:val="00AC1EF9"/>
    <w:rsid w:val="00AC2D6C"/>
    <w:rsid w:val="00AC3EBA"/>
    <w:rsid w:val="00AC47FE"/>
    <w:rsid w:val="00AC5A7B"/>
    <w:rsid w:val="00AC7108"/>
    <w:rsid w:val="00AD0168"/>
    <w:rsid w:val="00AD1118"/>
    <w:rsid w:val="00AD297E"/>
    <w:rsid w:val="00AD4AF0"/>
    <w:rsid w:val="00AD7C7E"/>
    <w:rsid w:val="00AE0180"/>
    <w:rsid w:val="00AE090C"/>
    <w:rsid w:val="00AE1052"/>
    <w:rsid w:val="00AE14FD"/>
    <w:rsid w:val="00AE1960"/>
    <w:rsid w:val="00AE19BA"/>
    <w:rsid w:val="00AE1EED"/>
    <w:rsid w:val="00AE2F57"/>
    <w:rsid w:val="00AE2FF9"/>
    <w:rsid w:val="00AE3C5F"/>
    <w:rsid w:val="00AE5144"/>
    <w:rsid w:val="00AE600E"/>
    <w:rsid w:val="00AE6124"/>
    <w:rsid w:val="00AF1199"/>
    <w:rsid w:val="00AF1E0E"/>
    <w:rsid w:val="00AF3E0C"/>
    <w:rsid w:val="00AF3E57"/>
    <w:rsid w:val="00AF3E72"/>
    <w:rsid w:val="00AF5876"/>
    <w:rsid w:val="00AF68D2"/>
    <w:rsid w:val="00AF787B"/>
    <w:rsid w:val="00B00621"/>
    <w:rsid w:val="00B01868"/>
    <w:rsid w:val="00B0411F"/>
    <w:rsid w:val="00B05AC3"/>
    <w:rsid w:val="00B07BE0"/>
    <w:rsid w:val="00B11134"/>
    <w:rsid w:val="00B11B6E"/>
    <w:rsid w:val="00B122C2"/>
    <w:rsid w:val="00B1516C"/>
    <w:rsid w:val="00B1546E"/>
    <w:rsid w:val="00B17615"/>
    <w:rsid w:val="00B20472"/>
    <w:rsid w:val="00B20DFE"/>
    <w:rsid w:val="00B22C39"/>
    <w:rsid w:val="00B2310F"/>
    <w:rsid w:val="00B232FC"/>
    <w:rsid w:val="00B24BD8"/>
    <w:rsid w:val="00B25B7A"/>
    <w:rsid w:val="00B27968"/>
    <w:rsid w:val="00B3045A"/>
    <w:rsid w:val="00B30B09"/>
    <w:rsid w:val="00B332A3"/>
    <w:rsid w:val="00B33842"/>
    <w:rsid w:val="00B340B4"/>
    <w:rsid w:val="00B34639"/>
    <w:rsid w:val="00B34C25"/>
    <w:rsid w:val="00B35487"/>
    <w:rsid w:val="00B363D3"/>
    <w:rsid w:val="00B37AB9"/>
    <w:rsid w:val="00B41B40"/>
    <w:rsid w:val="00B42005"/>
    <w:rsid w:val="00B4221D"/>
    <w:rsid w:val="00B42573"/>
    <w:rsid w:val="00B42C63"/>
    <w:rsid w:val="00B4652E"/>
    <w:rsid w:val="00B46EF4"/>
    <w:rsid w:val="00B46FB9"/>
    <w:rsid w:val="00B47040"/>
    <w:rsid w:val="00B50603"/>
    <w:rsid w:val="00B50971"/>
    <w:rsid w:val="00B519F6"/>
    <w:rsid w:val="00B51D14"/>
    <w:rsid w:val="00B53076"/>
    <w:rsid w:val="00B53F6F"/>
    <w:rsid w:val="00B56801"/>
    <w:rsid w:val="00B568F2"/>
    <w:rsid w:val="00B6110E"/>
    <w:rsid w:val="00B63D01"/>
    <w:rsid w:val="00B65A66"/>
    <w:rsid w:val="00B6758A"/>
    <w:rsid w:val="00B67A35"/>
    <w:rsid w:val="00B71472"/>
    <w:rsid w:val="00B72C0B"/>
    <w:rsid w:val="00B72D39"/>
    <w:rsid w:val="00B72D99"/>
    <w:rsid w:val="00B734FB"/>
    <w:rsid w:val="00B74140"/>
    <w:rsid w:val="00B75E16"/>
    <w:rsid w:val="00B76D4E"/>
    <w:rsid w:val="00B77016"/>
    <w:rsid w:val="00B77502"/>
    <w:rsid w:val="00B80785"/>
    <w:rsid w:val="00B80A59"/>
    <w:rsid w:val="00B80C47"/>
    <w:rsid w:val="00B8168E"/>
    <w:rsid w:val="00B81AAD"/>
    <w:rsid w:val="00B825A5"/>
    <w:rsid w:val="00B832A1"/>
    <w:rsid w:val="00B84988"/>
    <w:rsid w:val="00B857BE"/>
    <w:rsid w:val="00B8584C"/>
    <w:rsid w:val="00B8669E"/>
    <w:rsid w:val="00B86E2B"/>
    <w:rsid w:val="00B8799F"/>
    <w:rsid w:val="00B90834"/>
    <w:rsid w:val="00B90EF4"/>
    <w:rsid w:val="00B92845"/>
    <w:rsid w:val="00B93A11"/>
    <w:rsid w:val="00B946C4"/>
    <w:rsid w:val="00B961BC"/>
    <w:rsid w:val="00B979D9"/>
    <w:rsid w:val="00BA2CFF"/>
    <w:rsid w:val="00BA33DF"/>
    <w:rsid w:val="00BA3892"/>
    <w:rsid w:val="00BA5272"/>
    <w:rsid w:val="00BA663C"/>
    <w:rsid w:val="00BA6BE6"/>
    <w:rsid w:val="00BB18FC"/>
    <w:rsid w:val="00BB327B"/>
    <w:rsid w:val="00BB3286"/>
    <w:rsid w:val="00BB45AF"/>
    <w:rsid w:val="00BB485C"/>
    <w:rsid w:val="00BB5421"/>
    <w:rsid w:val="00BB5695"/>
    <w:rsid w:val="00BB67C8"/>
    <w:rsid w:val="00BB6C22"/>
    <w:rsid w:val="00BC0314"/>
    <w:rsid w:val="00BC031A"/>
    <w:rsid w:val="00BC20D5"/>
    <w:rsid w:val="00BC3956"/>
    <w:rsid w:val="00BC3B2E"/>
    <w:rsid w:val="00BC3FFB"/>
    <w:rsid w:val="00BC4017"/>
    <w:rsid w:val="00BC4533"/>
    <w:rsid w:val="00BC54FA"/>
    <w:rsid w:val="00BC5792"/>
    <w:rsid w:val="00BC5ED6"/>
    <w:rsid w:val="00BC62A8"/>
    <w:rsid w:val="00BD09F0"/>
    <w:rsid w:val="00BD36E3"/>
    <w:rsid w:val="00BD3CBA"/>
    <w:rsid w:val="00BD425E"/>
    <w:rsid w:val="00BD4392"/>
    <w:rsid w:val="00BD4962"/>
    <w:rsid w:val="00BD5F57"/>
    <w:rsid w:val="00BD6548"/>
    <w:rsid w:val="00BD6CD4"/>
    <w:rsid w:val="00BD7022"/>
    <w:rsid w:val="00BD73E3"/>
    <w:rsid w:val="00BE054B"/>
    <w:rsid w:val="00BE1FDA"/>
    <w:rsid w:val="00BE28F0"/>
    <w:rsid w:val="00BE3B7B"/>
    <w:rsid w:val="00BE3E35"/>
    <w:rsid w:val="00BE445B"/>
    <w:rsid w:val="00BE4967"/>
    <w:rsid w:val="00BE4A8B"/>
    <w:rsid w:val="00BE54A7"/>
    <w:rsid w:val="00BE6D7C"/>
    <w:rsid w:val="00BF282D"/>
    <w:rsid w:val="00BF500A"/>
    <w:rsid w:val="00BF59EB"/>
    <w:rsid w:val="00BF60DC"/>
    <w:rsid w:val="00BF6288"/>
    <w:rsid w:val="00C02F4E"/>
    <w:rsid w:val="00C03D74"/>
    <w:rsid w:val="00C04AEA"/>
    <w:rsid w:val="00C06602"/>
    <w:rsid w:val="00C06DA4"/>
    <w:rsid w:val="00C07CD9"/>
    <w:rsid w:val="00C10489"/>
    <w:rsid w:val="00C11241"/>
    <w:rsid w:val="00C116AA"/>
    <w:rsid w:val="00C14A6A"/>
    <w:rsid w:val="00C16FFB"/>
    <w:rsid w:val="00C17858"/>
    <w:rsid w:val="00C17CFA"/>
    <w:rsid w:val="00C201CE"/>
    <w:rsid w:val="00C20D68"/>
    <w:rsid w:val="00C2172D"/>
    <w:rsid w:val="00C2201B"/>
    <w:rsid w:val="00C24CE1"/>
    <w:rsid w:val="00C25390"/>
    <w:rsid w:val="00C26745"/>
    <w:rsid w:val="00C26BC3"/>
    <w:rsid w:val="00C30609"/>
    <w:rsid w:val="00C30FA4"/>
    <w:rsid w:val="00C31249"/>
    <w:rsid w:val="00C3325E"/>
    <w:rsid w:val="00C34326"/>
    <w:rsid w:val="00C34494"/>
    <w:rsid w:val="00C3480C"/>
    <w:rsid w:val="00C352BB"/>
    <w:rsid w:val="00C36813"/>
    <w:rsid w:val="00C37503"/>
    <w:rsid w:val="00C40340"/>
    <w:rsid w:val="00C40968"/>
    <w:rsid w:val="00C40E6F"/>
    <w:rsid w:val="00C42821"/>
    <w:rsid w:val="00C4352F"/>
    <w:rsid w:val="00C4361E"/>
    <w:rsid w:val="00C45505"/>
    <w:rsid w:val="00C461B6"/>
    <w:rsid w:val="00C4740D"/>
    <w:rsid w:val="00C47DF2"/>
    <w:rsid w:val="00C5095F"/>
    <w:rsid w:val="00C524A5"/>
    <w:rsid w:val="00C5665E"/>
    <w:rsid w:val="00C61BD0"/>
    <w:rsid w:val="00C61F86"/>
    <w:rsid w:val="00C62802"/>
    <w:rsid w:val="00C63976"/>
    <w:rsid w:val="00C64EBC"/>
    <w:rsid w:val="00C66014"/>
    <w:rsid w:val="00C70785"/>
    <w:rsid w:val="00C70C5C"/>
    <w:rsid w:val="00C71294"/>
    <w:rsid w:val="00C7145D"/>
    <w:rsid w:val="00C725BD"/>
    <w:rsid w:val="00C733D9"/>
    <w:rsid w:val="00C73431"/>
    <w:rsid w:val="00C73694"/>
    <w:rsid w:val="00C763E6"/>
    <w:rsid w:val="00C80B84"/>
    <w:rsid w:val="00C81BD7"/>
    <w:rsid w:val="00C82381"/>
    <w:rsid w:val="00C84365"/>
    <w:rsid w:val="00C85764"/>
    <w:rsid w:val="00C86A01"/>
    <w:rsid w:val="00C879C2"/>
    <w:rsid w:val="00C91FCB"/>
    <w:rsid w:val="00C927CC"/>
    <w:rsid w:val="00C92A7E"/>
    <w:rsid w:val="00C93700"/>
    <w:rsid w:val="00C93D0E"/>
    <w:rsid w:val="00C940D2"/>
    <w:rsid w:val="00C94201"/>
    <w:rsid w:val="00C95ED6"/>
    <w:rsid w:val="00C9621C"/>
    <w:rsid w:val="00C96982"/>
    <w:rsid w:val="00C96B43"/>
    <w:rsid w:val="00C97465"/>
    <w:rsid w:val="00C97794"/>
    <w:rsid w:val="00CA0029"/>
    <w:rsid w:val="00CA062C"/>
    <w:rsid w:val="00CA098E"/>
    <w:rsid w:val="00CA20E7"/>
    <w:rsid w:val="00CA3DCB"/>
    <w:rsid w:val="00CA40B8"/>
    <w:rsid w:val="00CA4B1D"/>
    <w:rsid w:val="00CA5057"/>
    <w:rsid w:val="00CB05CB"/>
    <w:rsid w:val="00CB144D"/>
    <w:rsid w:val="00CB166C"/>
    <w:rsid w:val="00CB1703"/>
    <w:rsid w:val="00CB1866"/>
    <w:rsid w:val="00CB1DA8"/>
    <w:rsid w:val="00CB282D"/>
    <w:rsid w:val="00CB2F20"/>
    <w:rsid w:val="00CB44FD"/>
    <w:rsid w:val="00CB48BB"/>
    <w:rsid w:val="00CB4D4E"/>
    <w:rsid w:val="00CB52F4"/>
    <w:rsid w:val="00CB5C01"/>
    <w:rsid w:val="00CB5F63"/>
    <w:rsid w:val="00CB6106"/>
    <w:rsid w:val="00CC0138"/>
    <w:rsid w:val="00CC06A2"/>
    <w:rsid w:val="00CC0720"/>
    <w:rsid w:val="00CC0A05"/>
    <w:rsid w:val="00CC266F"/>
    <w:rsid w:val="00CC4CB1"/>
    <w:rsid w:val="00CC5086"/>
    <w:rsid w:val="00CC59D4"/>
    <w:rsid w:val="00CC5A82"/>
    <w:rsid w:val="00CC6138"/>
    <w:rsid w:val="00CC6643"/>
    <w:rsid w:val="00CC6C23"/>
    <w:rsid w:val="00CD128F"/>
    <w:rsid w:val="00CE0D19"/>
    <w:rsid w:val="00CE271C"/>
    <w:rsid w:val="00CE41CE"/>
    <w:rsid w:val="00CE54A0"/>
    <w:rsid w:val="00CE60BF"/>
    <w:rsid w:val="00CE6EAE"/>
    <w:rsid w:val="00CE7088"/>
    <w:rsid w:val="00CF2A8F"/>
    <w:rsid w:val="00CF30D2"/>
    <w:rsid w:val="00CF4C56"/>
    <w:rsid w:val="00CF522F"/>
    <w:rsid w:val="00CF6E0B"/>
    <w:rsid w:val="00CF7136"/>
    <w:rsid w:val="00D00B51"/>
    <w:rsid w:val="00D01CBA"/>
    <w:rsid w:val="00D03F41"/>
    <w:rsid w:val="00D0504A"/>
    <w:rsid w:val="00D05051"/>
    <w:rsid w:val="00D06004"/>
    <w:rsid w:val="00D063B8"/>
    <w:rsid w:val="00D07003"/>
    <w:rsid w:val="00D07E6D"/>
    <w:rsid w:val="00D1057C"/>
    <w:rsid w:val="00D12733"/>
    <w:rsid w:val="00D13851"/>
    <w:rsid w:val="00D13FB7"/>
    <w:rsid w:val="00D14C7B"/>
    <w:rsid w:val="00D22696"/>
    <w:rsid w:val="00D245AE"/>
    <w:rsid w:val="00D26202"/>
    <w:rsid w:val="00D26387"/>
    <w:rsid w:val="00D273A8"/>
    <w:rsid w:val="00D2762F"/>
    <w:rsid w:val="00D304B8"/>
    <w:rsid w:val="00D3116D"/>
    <w:rsid w:val="00D3178B"/>
    <w:rsid w:val="00D33105"/>
    <w:rsid w:val="00D35627"/>
    <w:rsid w:val="00D36152"/>
    <w:rsid w:val="00D40486"/>
    <w:rsid w:val="00D41555"/>
    <w:rsid w:val="00D4188B"/>
    <w:rsid w:val="00D42233"/>
    <w:rsid w:val="00D42C48"/>
    <w:rsid w:val="00D4355D"/>
    <w:rsid w:val="00D43CC7"/>
    <w:rsid w:val="00D46CC5"/>
    <w:rsid w:val="00D50107"/>
    <w:rsid w:val="00D5020D"/>
    <w:rsid w:val="00D5029D"/>
    <w:rsid w:val="00D5056C"/>
    <w:rsid w:val="00D50822"/>
    <w:rsid w:val="00D51747"/>
    <w:rsid w:val="00D51B7B"/>
    <w:rsid w:val="00D52D57"/>
    <w:rsid w:val="00D5312E"/>
    <w:rsid w:val="00D53B02"/>
    <w:rsid w:val="00D55B84"/>
    <w:rsid w:val="00D564B8"/>
    <w:rsid w:val="00D5777B"/>
    <w:rsid w:val="00D5779A"/>
    <w:rsid w:val="00D600FE"/>
    <w:rsid w:val="00D60249"/>
    <w:rsid w:val="00D63856"/>
    <w:rsid w:val="00D6420B"/>
    <w:rsid w:val="00D65CDF"/>
    <w:rsid w:val="00D672C1"/>
    <w:rsid w:val="00D672C2"/>
    <w:rsid w:val="00D71794"/>
    <w:rsid w:val="00D71826"/>
    <w:rsid w:val="00D71B4B"/>
    <w:rsid w:val="00D72AC1"/>
    <w:rsid w:val="00D73687"/>
    <w:rsid w:val="00D7370E"/>
    <w:rsid w:val="00D7493C"/>
    <w:rsid w:val="00D75C1B"/>
    <w:rsid w:val="00D76372"/>
    <w:rsid w:val="00D77783"/>
    <w:rsid w:val="00D77F9C"/>
    <w:rsid w:val="00D80C87"/>
    <w:rsid w:val="00D81F2F"/>
    <w:rsid w:val="00D822F0"/>
    <w:rsid w:val="00D82C84"/>
    <w:rsid w:val="00D869EF"/>
    <w:rsid w:val="00D87E14"/>
    <w:rsid w:val="00D87FF4"/>
    <w:rsid w:val="00D915F3"/>
    <w:rsid w:val="00D91DAF"/>
    <w:rsid w:val="00D921FD"/>
    <w:rsid w:val="00D92DF2"/>
    <w:rsid w:val="00D92FC3"/>
    <w:rsid w:val="00D956AE"/>
    <w:rsid w:val="00D96D76"/>
    <w:rsid w:val="00D9750F"/>
    <w:rsid w:val="00DA043C"/>
    <w:rsid w:val="00DA0C72"/>
    <w:rsid w:val="00DA18EC"/>
    <w:rsid w:val="00DA3B74"/>
    <w:rsid w:val="00DA5497"/>
    <w:rsid w:val="00DA561A"/>
    <w:rsid w:val="00DA5ED0"/>
    <w:rsid w:val="00DA68F0"/>
    <w:rsid w:val="00DB0A56"/>
    <w:rsid w:val="00DB4E26"/>
    <w:rsid w:val="00DC2374"/>
    <w:rsid w:val="00DC2DAB"/>
    <w:rsid w:val="00DC2E14"/>
    <w:rsid w:val="00DC33DF"/>
    <w:rsid w:val="00DC4095"/>
    <w:rsid w:val="00DC4176"/>
    <w:rsid w:val="00DC55C2"/>
    <w:rsid w:val="00DC5BAB"/>
    <w:rsid w:val="00DC668B"/>
    <w:rsid w:val="00DC68C0"/>
    <w:rsid w:val="00DC6DC6"/>
    <w:rsid w:val="00DC7CF7"/>
    <w:rsid w:val="00DD3E26"/>
    <w:rsid w:val="00DD53B0"/>
    <w:rsid w:val="00DE1154"/>
    <w:rsid w:val="00DE1689"/>
    <w:rsid w:val="00DE2140"/>
    <w:rsid w:val="00DE36B9"/>
    <w:rsid w:val="00DE39FF"/>
    <w:rsid w:val="00DE48AB"/>
    <w:rsid w:val="00DE4C0D"/>
    <w:rsid w:val="00DE4FDB"/>
    <w:rsid w:val="00DE560B"/>
    <w:rsid w:val="00DE560E"/>
    <w:rsid w:val="00DF1523"/>
    <w:rsid w:val="00DF2439"/>
    <w:rsid w:val="00DF4C29"/>
    <w:rsid w:val="00DF54A2"/>
    <w:rsid w:val="00DF5633"/>
    <w:rsid w:val="00DF5662"/>
    <w:rsid w:val="00DF5A48"/>
    <w:rsid w:val="00DF5E51"/>
    <w:rsid w:val="00E01BAB"/>
    <w:rsid w:val="00E02C7F"/>
    <w:rsid w:val="00E03F2D"/>
    <w:rsid w:val="00E0546E"/>
    <w:rsid w:val="00E0686F"/>
    <w:rsid w:val="00E06D47"/>
    <w:rsid w:val="00E078A6"/>
    <w:rsid w:val="00E1060B"/>
    <w:rsid w:val="00E113DE"/>
    <w:rsid w:val="00E116BE"/>
    <w:rsid w:val="00E127FD"/>
    <w:rsid w:val="00E12A28"/>
    <w:rsid w:val="00E13409"/>
    <w:rsid w:val="00E13456"/>
    <w:rsid w:val="00E13871"/>
    <w:rsid w:val="00E14144"/>
    <w:rsid w:val="00E1717E"/>
    <w:rsid w:val="00E21946"/>
    <w:rsid w:val="00E21BE9"/>
    <w:rsid w:val="00E2209B"/>
    <w:rsid w:val="00E25268"/>
    <w:rsid w:val="00E2685A"/>
    <w:rsid w:val="00E30C23"/>
    <w:rsid w:val="00E3256E"/>
    <w:rsid w:val="00E33FE8"/>
    <w:rsid w:val="00E35AD5"/>
    <w:rsid w:val="00E36C1A"/>
    <w:rsid w:val="00E40567"/>
    <w:rsid w:val="00E40BAF"/>
    <w:rsid w:val="00E41650"/>
    <w:rsid w:val="00E41902"/>
    <w:rsid w:val="00E4217B"/>
    <w:rsid w:val="00E429AD"/>
    <w:rsid w:val="00E42E7F"/>
    <w:rsid w:val="00E4371C"/>
    <w:rsid w:val="00E44593"/>
    <w:rsid w:val="00E44C43"/>
    <w:rsid w:val="00E45094"/>
    <w:rsid w:val="00E459C0"/>
    <w:rsid w:val="00E46182"/>
    <w:rsid w:val="00E501CB"/>
    <w:rsid w:val="00E503CE"/>
    <w:rsid w:val="00E504D1"/>
    <w:rsid w:val="00E50820"/>
    <w:rsid w:val="00E50EF3"/>
    <w:rsid w:val="00E5112B"/>
    <w:rsid w:val="00E51F7C"/>
    <w:rsid w:val="00E520DA"/>
    <w:rsid w:val="00E52B5F"/>
    <w:rsid w:val="00E53CAA"/>
    <w:rsid w:val="00E55B72"/>
    <w:rsid w:val="00E5675D"/>
    <w:rsid w:val="00E56DFF"/>
    <w:rsid w:val="00E56F22"/>
    <w:rsid w:val="00E60E45"/>
    <w:rsid w:val="00E6161B"/>
    <w:rsid w:val="00E61EB7"/>
    <w:rsid w:val="00E62F28"/>
    <w:rsid w:val="00E66E51"/>
    <w:rsid w:val="00E674C5"/>
    <w:rsid w:val="00E7113C"/>
    <w:rsid w:val="00E726D8"/>
    <w:rsid w:val="00E72B05"/>
    <w:rsid w:val="00E731B2"/>
    <w:rsid w:val="00E745E8"/>
    <w:rsid w:val="00E76428"/>
    <w:rsid w:val="00E764FD"/>
    <w:rsid w:val="00E775E1"/>
    <w:rsid w:val="00E805FB"/>
    <w:rsid w:val="00E8117B"/>
    <w:rsid w:val="00E83A9B"/>
    <w:rsid w:val="00E849E0"/>
    <w:rsid w:val="00E85478"/>
    <w:rsid w:val="00E85A7B"/>
    <w:rsid w:val="00E90F96"/>
    <w:rsid w:val="00E91938"/>
    <w:rsid w:val="00E940DE"/>
    <w:rsid w:val="00E9461D"/>
    <w:rsid w:val="00E9582F"/>
    <w:rsid w:val="00E96EDC"/>
    <w:rsid w:val="00EA316B"/>
    <w:rsid w:val="00EA53FD"/>
    <w:rsid w:val="00EA5655"/>
    <w:rsid w:val="00EA6245"/>
    <w:rsid w:val="00EA637B"/>
    <w:rsid w:val="00EB0AB1"/>
    <w:rsid w:val="00EB0F36"/>
    <w:rsid w:val="00EB3E17"/>
    <w:rsid w:val="00EB7362"/>
    <w:rsid w:val="00EC0BFB"/>
    <w:rsid w:val="00EC2DC3"/>
    <w:rsid w:val="00EC3109"/>
    <w:rsid w:val="00EC3366"/>
    <w:rsid w:val="00EC3578"/>
    <w:rsid w:val="00EC404F"/>
    <w:rsid w:val="00EC5916"/>
    <w:rsid w:val="00EC6778"/>
    <w:rsid w:val="00EC6A13"/>
    <w:rsid w:val="00ED1B72"/>
    <w:rsid w:val="00ED1E94"/>
    <w:rsid w:val="00ED37E5"/>
    <w:rsid w:val="00ED422F"/>
    <w:rsid w:val="00ED448C"/>
    <w:rsid w:val="00ED6B01"/>
    <w:rsid w:val="00ED79A5"/>
    <w:rsid w:val="00EE0CB0"/>
    <w:rsid w:val="00EE0E05"/>
    <w:rsid w:val="00EE3D3A"/>
    <w:rsid w:val="00EE5AF8"/>
    <w:rsid w:val="00EE66E0"/>
    <w:rsid w:val="00EE7620"/>
    <w:rsid w:val="00EE7FD5"/>
    <w:rsid w:val="00EF257A"/>
    <w:rsid w:val="00EF6874"/>
    <w:rsid w:val="00EF6F87"/>
    <w:rsid w:val="00EF6FFD"/>
    <w:rsid w:val="00F00737"/>
    <w:rsid w:val="00F03753"/>
    <w:rsid w:val="00F03B50"/>
    <w:rsid w:val="00F054C9"/>
    <w:rsid w:val="00F05768"/>
    <w:rsid w:val="00F05D05"/>
    <w:rsid w:val="00F0663A"/>
    <w:rsid w:val="00F06C3F"/>
    <w:rsid w:val="00F1074F"/>
    <w:rsid w:val="00F10A6C"/>
    <w:rsid w:val="00F11DC3"/>
    <w:rsid w:val="00F11E31"/>
    <w:rsid w:val="00F12F1B"/>
    <w:rsid w:val="00F1449E"/>
    <w:rsid w:val="00F148C1"/>
    <w:rsid w:val="00F14D7B"/>
    <w:rsid w:val="00F202E0"/>
    <w:rsid w:val="00F203ED"/>
    <w:rsid w:val="00F2097D"/>
    <w:rsid w:val="00F214E8"/>
    <w:rsid w:val="00F21600"/>
    <w:rsid w:val="00F22360"/>
    <w:rsid w:val="00F228EC"/>
    <w:rsid w:val="00F25920"/>
    <w:rsid w:val="00F25F42"/>
    <w:rsid w:val="00F26786"/>
    <w:rsid w:val="00F27FF4"/>
    <w:rsid w:val="00F303DD"/>
    <w:rsid w:val="00F312B7"/>
    <w:rsid w:val="00F320AC"/>
    <w:rsid w:val="00F33B81"/>
    <w:rsid w:val="00F3495F"/>
    <w:rsid w:val="00F3518D"/>
    <w:rsid w:val="00F351CB"/>
    <w:rsid w:val="00F362BB"/>
    <w:rsid w:val="00F36B0A"/>
    <w:rsid w:val="00F41539"/>
    <w:rsid w:val="00F41CEE"/>
    <w:rsid w:val="00F42D26"/>
    <w:rsid w:val="00F4304E"/>
    <w:rsid w:val="00F462BA"/>
    <w:rsid w:val="00F500E0"/>
    <w:rsid w:val="00F50CA4"/>
    <w:rsid w:val="00F50F9A"/>
    <w:rsid w:val="00F51523"/>
    <w:rsid w:val="00F535CA"/>
    <w:rsid w:val="00F54244"/>
    <w:rsid w:val="00F559EC"/>
    <w:rsid w:val="00F55B79"/>
    <w:rsid w:val="00F56A0F"/>
    <w:rsid w:val="00F56FB1"/>
    <w:rsid w:val="00F57500"/>
    <w:rsid w:val="00F57517"/>
    <w:rsid w:val="00F5796C"/>
    <w:rsid w:val="00F57AEB"/>
    <w:rsid w:val="00F601F4"/>
    <w:rsid w:val="00F6076E"/>
    <w:rsid w:val="00F61233"/>
    <w:rsid w:val="00F61F59"/>
    <w:rsid w:val="00F637CA"/>
    <w:rsid w:val="00F644FE"/>
    <w:rsid w:val="00F66807"/>
    <w:rsid w:val="00F67398"/>
    <w:rsid w:val="00F72DFC"/>
    <w:rsid w:val="00F73E96"/>
    <w:rsid w:val="00F74965"/>
    <w:rsid w:val="00F75DC6"/>
    <w:rsid w:val="00F75F54"/>
    <w:rsid w:val="00F7752F"/>
    <w:rsid w:val="00F808D1"/>
    <w:rsid w:val="00F8201A"/>
    <w:rsid w:val="00F839EC"/>
    <w:rsid w:val="00F85559"/>
    <w:rsid w:val="00F857F2"/>
    <w:rsid w:val="00F87720"/>
    <w:rsid w:val="00F878D6"/>
    <w:rsid w:val="00F87B09"/>
    <w:rsid w:val="00F909A6"/>
    <w:rsid w:val="00F910AD"/>
    <w:rsid w:val="00F9247C"/>
    <w:rsid w:val="00F9257C"/>
    <w:rsid w:val="00F9496C"/>
    <w:rsid w:val="00F96DA6"/>
    <w:rsid w:val="00F970FC"/>
    <w:rsid w:val="00F97379"/>
    <w:rsid w:val="00F97EDB"/>
    <w:rsid w:val="00FA156C"/>
    <w:rsid w:val="00FA21AB"/>
    <w:rsid w:val="00FA2E75"/>
    <w:rsid w:val="00FA39B8"/>
    <w:rsid w:val="00FA3BB8"/>
    <w:rsid w:val="00FA6224"/>
    <w:rsid w:val="00FA62BF"/>
    <w:rsid w:val="00FA6BDA"/>
    <w:rsid w:val="00FA727D"/>
    <w:rsid w:val="00FA7C28"/>
    <w:rsid w:val="00FB05CB"/>
    <w:rsid w:val="00FB144B"/>
    <w:rsid w:val="00FB146F"/>
    <w:rsid w:val="00FB456D"/>
    <w:rsid w:val="00FB610F"/>
    <w:rsid w:val="00FB6FA5"/>
    <w:rsid w:val="00FB74B9"/>
    <w:rsid w:val="00FC0D06"/>
    <w:rsid w:val="00FC10CF"/>
    <w:rsid w:val="00FC1746"/>
    <w:rsid w:val="00FC1911"/>
    <w:rsid w:val="00FC34D1"/>
    <w:rsid w:val="00FC3966"/>
    <w:rsid w:val="00FC69A4"/>
    <w:rsid w:val="00FD0615"/>
    <w:rsid w:val="00FD1F84"/>
    <w:rsid w:val="00FD2639"/>
    <w:rsid w:val="00FD47B7"/>
    <w:rsid w:val="00FD5C92"/>
    <w:rsid w:val="00FD669E"/>
    <w:rsid w:val="00FD6A99"/>
    <w:rsid w:val="00FE1CC3"/>
    <w:rsid w:val="00FE2BC4"/>
    <w:rsid w:val="00FE541D"/>
    <w:rsid w:val="00FE6414"/>
    <w:rsid w:val="00FE7719"/>
    <w:rsid w:val="00FE7E29"/>
    <w:rsid w:val="00FF1F53"/>
    <w:rsid w:val="00FF21A7"/>
    <w:rsid w:val="00FF2A67"/>
    <w:rsid w:val="00FF3A57"/>
    <w:rsid w:val="00FF5167"/>
    <w:rsid w:val="00FF568F"/>
    <w:rsid w:val="00FF742C"/>
    <w:rsid w:val="00FF7849"/>
    <w:rsid w:val="02D43FD0"/>
    <w:rsid w:val="08C0F916"/>
    <w:rsid w:val="0BA369FD"/>
    <w:rsid w:val="0BAEAD2B"/>
    <w:rsid w:val="0BFD2611"/>
    <w:rsid w:val="0D905F26"/>
    <w:rsid w:val="0E7C1F40"/>
    <w:rsid w:val="0E8D3073"/>
    <w:rsid w:val="11940801"/>
    <w:rsid w:val="1B2D49D7"/>
    <w:rsid w:val="1E8A2BE0"/>
    <w:rsid w:val="209D3A46"/>
    <w:rsid w:val="240D97F7"/>
    <w:rsid w:val="278792E6"/>
    <w:rsid w:val="2A63B11E"/>
    <w:rsid w:val="2B94CFDB"/>
    <w:rsid w:val="2C8D644C"/>
    <w:rsid w:val="2F3B673F"/>
    <w:rsid w:val="303CECDF"/>
    <w:rsid w:val="304352E5"/>
    <w:rsid w:val="332D5603"/>
    <w:rsid w:val="353D9A47"/>
    <w:rsid w:val="3B6D97DB"/>
    <w:rsid w:val="421E4D2C"/>
    <w:rsid w:val="423DD46C"/>
    <w:rsid w:val="4627179B"/>
    <w:rsid w:val="48E2ED7A"/>
    <w:rsid w:val="4BD291BB"/>
    <w:rsid w:val="5239717F"/>
    <w:rsid w:val="53A14070"/>
    <w:rsid w:val="56D8E132"/>
    <w:rsid w:val="5874B193"/>
    <w:rsid w:val="5A926741"/>
    <w:rsid w:val="5C3AFF32"/>
    <w:rsid w:val="61FE1A37"/>
    <w:rsid w:val="625D7844"/>
    <w:rsid w:val="625F5BD8"/>
    <w:rsid w:val="647B870D"/>
    <w:rsid w:val="669709AF"/>
    <w:rsid w:val="66EB0404"/>
    <w:rsid w:val="689A18A0"/>
    <w:rsid w:val="77D860E9"/>
    <w:rsid w:val="7A41D411"/>
    <w:rsid w:val="7C645A77"/>
    <w:rsid w:val="7D4A0716"/>
    <w:rsid w:val="7E35DC83"/>
    <w:rsid w:val="7F21C072"/>
    <w:rsid w:val="7FA017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B7D2D8F"/>
  <w15:chartTrackingRefBased/>
  <w15:docId w15:val="{76DE105F-E204-4EF0-A943-35C1C7E578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455B"/>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14895"/>
    <w:pPr>
      <w:numPr>
        <w:ilvl w:val="1"/>
        <w:numId w:val="19"/>
      </w:numPr>
      <w:ind w:left="426"/>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qFormat/>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qFormat/>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题注"/>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qFormat/>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rsid w:val="00F50F9A"/>
    <w:rPr>
      <w:rFonts w:ascii="Arial" w:hAnsi="Arial"/>
      <w:sz w:val="18"/>
      <w:lang w:val="en-GB" w:eastAsia="en-US" w:bidi="ar-SA"/>
    </w:rPr>
  </w:style>
  <w:style w:type="table" w:styleId="TableGrid">
    <w:name w:val="Table Grid"/>
    <w:basedOn w:val="TableNormal"/>
    <w:qFormat/>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qFormat/>
    <w:rsid w:val="009529F2"/>
    <w:rPr>
      <w:rFonts w:ascii="Arial" w:hAnsi="Arial"/>
      <w:b/>
      <w:sz w:val="18"/>
      <w:lang w:val="en-GB" w:eastAsia="en-US" w:bidi="ar-SA"/>
    </w:rPr>
  </w:style>
  <w:style w:type="character" w:customStyle="1" w:styleId="TFChar">
    <w:name w:val="TF Char"/>
    <w:basedOn w:val="TH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题注 Char"/>
    <w:link w:val="Caption"/>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A14895"/>
    <w:rPr>
      <w:rFonts w:ascii="Arial" w:hAnsi="Arial"/>
      <w:sz w:val="24"/>
      <w:lang w:val="en-GB"/>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basedOn w:val="H6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uiPriority w:val="99"/>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リスト段落,列出段落,列表段落,목록단락,列"/>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99493B"/>
    <w:rPr>
      <w:rFonts w:ascii="Arial" w:hAnsi="Arial"/>
      <w:lang w:val="en-GB" w:eastAsia="en-US" w:bidi="ar-SA"/>
    </w:rPr>
  </w:style>
  <w:style w:type="character" w:customStyle="1" w:styleId="T1Char1">
    <w:name w:val="T1 Char1"/>
    <w:aliases w:val="Header 6 Char Char1"/>
    <w:basedOn w:val="H6Char"/>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basedOn w:val="NMPHeading1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basedOn w:val="ListChar"/>
    <w:link w:val="ListBullet"/>
    <w:rsid w:val="00675341"/>
    <w:rPr>
      <w:lang w:val="en-GB" w:eastAsia="en-US" w:bidi="ar-SA"/>
    </w:rPr>
  </w:style>
  <w:style w:type="character" w:customStyle="1" w:styleId="ListBullet2Char">
    <w:name w:val="List Bullet 2 Char"/>
    <w:basedOn w:val="ListBulletChar"/>
    <w:link w:val="ListBullet2"/>
    <w:rsid w:val="00675341"/>
    <w:rPr>
      <w:lang w:val="en-GB" w:eastAsia="en-US" w:bidi="ar-SA"/>
    </w:rPr>
  </w:style>
  <w:style w:type="character" w:customStyle="1" w:styleId="ListBullet3Char">
    <w:name w:val="List Bullet 3 Char"/>
    <w:basedOn w:val="ListBullet2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cap Char3,题注 Char1"/>
    <w:qFormat/>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1">
    <w:name w:val="TOC 91"/>
    <w:basedOn w:val="TOC8"/>
    <w:rsid w:val="00675341"/>
    <w:pPr>
      <w:ind w:left="1418" w:hanging="1418"/>
    </w:pPr>
    <w:rPr>
      <w:rFonts w:eastAsia="MS Mincho"/>
      <w:lang w:val="en-GB" w:eastAsia="en-GB"/>
    </w:rPr>
  </w:style>
  <w:style w:type="paragraph" w:customStyle="1" w:styleId="Caption1">
    <w:name w:val="Caption1"/>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styleId="UnresolvedMention">
    <w:name w:val="Unresolved Mention"/>
    <w:uiPriority w:val="99"/>
    <w:unhideWhenUsed/>
    <w:rsid w:val="00472D9C"/>
    <w:rPr>
      <w:color w:val="605E5C"/>
      <w:shd w:val="clear" w:color="auto" w:fill="E1DFDD"/>
    </w:rPr>
  </w:style>
  <w:style w:type="paragraph" w:customStyle="1" w:styleId="a2">
    <w:name w:val="標準"/>
    <w:rsid w:val="00D304B8"/>
    <w:pPr>
      <w:pBdr>
        <w:top w:val="nil"/>
        <w:left w:val="nil"/>
        <w:bottom w:val="nil"/>
        <w:right w:val="nil"/>
        <w:between w:val="nil"/>
        <w:bar w:val="nil"/>
      </w:pBdr>
      <w:spacing w:after="180"/>
    </w:pPr>
    <w:rPr>
      <w:color w:val="000000"/>
      <w:u w:color="000000"/>
      <w:bdr w:val="nil"/>
      <w:lang w:eastAsia="zh-CN"/>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出段落 Char"/>
    <w:link w:val="ListParagraph"/>
    <w:uiPriority w:val="34"/>
    <w:qFormat/>
    <w:locked/>
    <w:rsid w:val="00286502"/>
    <w:rPr>
      <w:lang w:val="en-GB"/>
    </w:rPr>
  </w:style>
  <w:style w:type="paragraph" w:styleId="Subtitle">
    <w:name w:val="Subtitle"/>
    <w:basedOn w:val="Normal"/>
    <w:next w:val="Normal"/>
    <w:link w:val="SubtitleChar"/>
    <w:qFormat/>
    <w:rsid w:val="002475A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475A2"/>
    <w:rPr>
      <w:rFonts w:asciiTheme="minorHAnsi" w:eastAsiaTheme="minorEastAsia" w:hAnsiTheme="minorHAnsi" w:cstheme="minorBidi"/>
      <w:color w:val="5A5A5A" w:themeColor="text1" w:themeTint="A5"/>
      <w:spacing w:val="15"/>
      <w:sz w:val="22"/>
      <w:szCs w:val="22"/>
      <w:lang w:val="en-GB"/>
    </w:rPr>
  </w:style>
  <w:style w:type="paragraph" w:customStyle="1" w:styleId="ZchnZchn00">
    <w:name w:val="Zchn Zchn00"/>
    <w:semiHidden/>
    <w:rsid w:val="00B71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Mention">
    <w:name w:val="Mention"/>
    <w:basedOn w:val="DefaultParagraphFont"/>
    <w:uiPriority w:val="99"/>
    <w:unhideWhenUsed/>
    <w:rsid w:val="004C2CA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2993971">
      <w:bodyDiv w:val="1"/>
      <w:marLeft w:val="0"/>
      <w:marRight w:val="0"/>
      <w:marTop w:val="0"/>
      <w:marBottom w:val="0"/>
      <w:divBdr>
        <w:top w:val="none" w:sz="0" w:space="0" w:color="auto"/>
        <w:left w:val="none" w:sz="0" w:space="0" w:color="auto"/>
        <w:bottom w:val="none" w:sz="0" w:space="0" w:color="auto"/>
        <w:right w:val="none" w:sz="0" w:space="0" w:color="auto"/>
      </w:divBdr>
      <w:divsChild>
        <w:div w:id="188954896">
          <w:marLeft w:val="1800"/>
          <w:marRight w:val="0"/>
          <w:marTop w:val="100"/>
          <w:marBottom w:val="0"/>
          <w:divBdr>
            <w:top w:val="none" w:sz="0" w:space="0" w:color="auto"/>
            <w:left w:val="none" w:sz="0" w:space="0" w:color="auto"/>
            <w:bottom w:val="none" w:sz="0" w:space="0" w:color="auto"/>
            <w:right w:val="none" w:sz="0" w:space="0" w:color="auto"/>
          </w:divBdr>
        </w:div>
        <w:div w:id="525753823">
          <w:marLeft w:val="1080"/>
          <w:marRight w:val="0"/>
          <w:marTop w:val="100"/>
          <w:marBottom w:val="0"/>
          <w:divBdr>
            <w:top w:val="none" w:sz="0" w:space="0" w:color="auto"/>
            <w:left w:val="none" w:sz="0" w:space="0" w:color="auto"/>
            <w:bottom w:val="none" w:sz="0" w:space="0" w:color="auto"/>
            <w:right w:val="none" w:sz="0" w:space="0" w:color="auto"/>
          </w:divBdr>
        </w:div>
        <w:div w:id="844444548">
          <w:marLeft w:val="1800"/>
          <w:marRight w:val="0"/>
          <w:marTop w:val="100"/>
          <w:marBottom w:val="0"/>
          <w:divBdr>
            <w:top w:val="none" w:sz="0" w:space="0" w:color="auto"/>
            <w:left w:val="none" w:sz="0" w:space="0" w:color="auto"/>
            <w:bottom w:val="none" w:sz="0" w:space="0" w:color="auto"/>
            <w:right w:val="none" w:sz="0" w:space="0" w:color="auto"/>
          </w:divBdr>
        </w:div>
        <w:div w:id="923344538">
          <w:marLeft w:val="1800"/>
          <w:marRight w:val="0"/>
          <w:marTop w:val="100"/>
          <w:marBottom w:val="0"/>
          <w:divBdr>
            <w:top w:val="none" w:sz="0" w:space="0" w:color="auto"/>
            <w:left w:val="none" w:sz="0" w:space="0" w:color="auto"/>
            <w:bottom w:val="none" w:sz="0" w:space="0" w:color="auto"/>
            <w:right w:val="none" w:sz="0" w:space="0" w:color="auto"/>
          </w:divBdr>
        </w:div>
        <w:div w:id="1075469605">
          <w:marLeft w:val="1800"/>
          <w:marRight w:val="0"/>
          <w:marTop w:val="100"/>
          <w:marBottom w:val="0"/>
          <w:divBdr>
            <w:top w:val="none" w:sz="0" w:space="0" w:color="auto"/>
            <w:left w:val="none" w:sz="0" w:space="0" w:color="auto"/>
            <w:bottom w:val="none" w:sz="0" w:space="0" w:color="auto"/>
            <w:right w:val="none" w:sz="0" w:space="0" w:color="auto"/>
          </w:divBdr>
        </w:div>
        <w:div w:id="1515413385">
          <w:marLeft w:val="1080"/>
          <w:marRight w:val="0"/>
          <w:marTop w:val="100"/>
          <w:marBottom w:val="0"/>
          <w:divBdr>
            <w:top w:val="none" w:sz="0" w:space="0" w:color="auto"/>
            <w:left w:val="none" w:sz="0" w:space="0" w:color="auto"/>
            <w:bottom w:val="none" w:sz="0" w:space="0" w:color="auto"/>
            <w:right w:val="none" w:sz="0" w:space="0" w:color="auto"/>
          </w:divBdr>
        </w:div>
      </w:divsChild>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932546">
      <w:bodyDiv w:val="1"/>
      <w:marLeft w:val="0"/>
      <w:marRight w:val="0"/>
      <w:marTop w:val="0"/>
      <w:marBottom w:val="0"/>
      <w:divBdr>
        <w:top w:val="none" w:sz="0" w:space="0" w:color="auto"/>
        <w:left w:val="none" w:sz="0" w:space="0" w:color="auto"/>
        <w:bottom w:val="none" w:sz="0" w:space="0" w:color="auto"/>
        <w:right w:val="none" w:sz="0" w:space="0" w:color="auto"/>
      </w:divBdr>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77813164">
      <w:bodyDiv w:val="1"/>
      <w:marLeft w:val="0"/>
      <w:marRight w:val="0"/>
      <w:marTop w:val="0"/>
      <w:marBottom w:val="0"/>
      <w:divBdr>
        <w:top w:val="none" w:sz="0" w:space="0" w:color="auto"/>
        <w:left w:val="none" w:sz="0" w:space="0" w:color="auto"/>
        <w:bottom w:val="none" w:sz="0" w:space="0" w:color="auto"/>
        <w:right w:val="none" w:sz="0" w:space="0" w:color="auto"/>
      </w:divBdr>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68658017">
      <w:bodyDiv w:val="1"/>
      <w:marLeft w:val="0"/>
      <w:marRight w:val="0"/>
      <w:marTop w:val="0"/>
      <w:marBottom w:val="0"/>
      <w:divBdr>
        <w:top w:val="none" w:sz="0" w:space="0" w:color="auto"/>
        <w:left w:val="none" w:sz="0" w:space="0" w:color="auto"/>
        <w:bottom w:val="none" w:sz="0" w:space="0" w:color="auto"/>
        <w:right w:val="none" w:sz="0" w:space="0" w:color="auto"/>
      </w:divBdr>
      <w:divsChild>
        <w:div w:id="1645504279">
          <w:marLeft w:val="1080"/>
          <w:marRight w:val="0"/>
          <w:marTop w:val="100"/>
          <w:marBottom w:val="0"/>
          <w:divBdr>
            <w:top w:val="none" w:sz="0" w:space="0" w:color="auto"/>
            <w:left w:val="none" w:sz="0" w:space="0" w:color="auto"/>
            <w:bottom w:val="none" w:sz="0" w:space="0" w:color="auto"/>
            <w:right w:val="none" w:sz="0" w:space="0" w:color="auto"/>
          </w:divBdr>
        </w:div>
      </w:divsChild>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8833748">
      <w:bodyDiv w:val="1"/>
      <w:marLeft w:val="0"/>
      <w:marRight w:val="0"/>
      <w:marTop w:val="0"/>
      <w:marBottom w:val="0"/>
      <w:divBdr>
        <w:top w:val="none" w:sz="0" w:space="0" w:color="auto"/>
        <w:left w:val="none" w:sz="0" w:space="0" w:color="auto"/>
        <w:bottom w:val="none" w:sz="0" w:space="0" w:color="auto"/>
        <w:right w:val="none" w:sz="0" w:space="0" w:color="auto"/>
      </w:divBdr>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824491">
      <w:bodyDiv w:val="1"/>
      <w:marLeft w:val="0"/>
      <w:marRight w:val="0"/>
      <w:marTop w:val="0"/>
      <w:marBottom w:val="0"/>
      <w:divBdr>
        <w:top w:val="none" w:sz="0" w:space="0" w:color="auto"/>
        <w:left w:val="none" w:sz="0" w:space="0" w:color="auto"/>
        <w:bottom w:val="none" w:sz="0" w:space="0" w:color="auto"/>
        <w:right w:val="none" w:sz="0" w:space="0" w:color="auto"/>
      </w:divBdr>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983304">
      <w:bodyDiv w:val="1"/>
      <w:marLeft w:val="0"/>
      <w:marRight w:val="0"/>
      <w:marTop w:val="0"/>
      <w:marBottom w:val="0"/>
      <w:divBdr>
        <w:top w:val="none" w:sz="0" w:space="0" w:color="auto"/>
        <w:left w:val="none" w:sz="0" w:space="0" w:color="auto"/>
        <w:bottom w:val="none" w:sz="0" w:space="0" w:color="auto"/>
        <w:right w:val="none" w:sz="0" w:space="0" w:color="auto"/>
      </w:divBdr>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776617">
      <w:bodyDiv w:val="1"/>
      <w:marLeft w:val="0"/>
      <w:marRight w:val="0"/>
      <w:marTop w:val="0"/>
      <w:marBottom w:val="0"/>
      <w:divBdr>
        <w:top w:val="none" w:sz="0" w:space="0" w:color="auto"/>
        <w:left w:val="none" w:sz="0" w:space="0" w:color="auto"/>
        <w:bottom w:val="none" w:sz="0" w:space="0" w:color="auto"/>
        <w:right w:val="none" w:sz="0" w:space="0" w:color="auto"/>
      </w:divBdr>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5305907">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624066">
      <w:bodyDiv w:val="1"/>
      <w:marLeft w:val="0"/>
      <w:marRight w:val="0"/>
      <w:marTop w:val="0"/>
      <w:marBottom w:val="0"/>
      <w:divBdr>
        <w:top w:val="none" w:sz="0" w:space="0" w:color="auto"/>
        <w:left w:val="none" w:sz="0" w:space="0" w:color="auto"/>
        <w:bottom w:val="none" w:sz="0" w:space="0" w:color="auto"/>
        <w:right w:val="none" w:sz="0" w:space="0" w:color="auto"/>
      </w:divBdr>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36920766">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882117">
      <w:bodyDiv w:val="1"/>
      <w:marLeft w:val="0"/>
      <w:marRight w:val="0"/>
      <w:marTop w:val="0"/>
      <w:marBottom w:val="0"/>
      <w:divBdr>
        <w:top w:val="none" w:sz="0" w:space="0" w:color="auto"/>
        <w:left w:val="none" w:sz="0" w:space="0" w:color="auto"/>
        <w:bottom w:val="none" w:sz="0" w:space="0" w:color="auto"/>
        <w:right w:val="none" w:sz="0" w:space="0" w:color="auto"/>
      </w:divBdr>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5AIRPNAIUNRU-1328258698-7473</_dlc_DocId>
    <_dlc_DocIdUrl xmlns="71c5aaf6-e6ce-465b-b873-5148d2a4c105">
      <Url>https://nokia.sharepoint.com/sites/c5g/5gradio/_layouts/15/DocIdRedir.aspx?ID=5AIRPNAIUNRU-1328258698-7473</Url>
      <Description>5AIRPNAIUNRU-1328258698-7473</Description>
    </_dlc_DocIdUrl>
    <Information xmlns="3b34c8f0-1ef5-4d1e-bb66-517ce7fe7356" xsi:nil="true"/>
    <Associated_x0020_Task xmlns="3b34c8f0-1ef5-4d1e-bb66-517ce7fe7356"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42BA21-262E-4730-A55F-1A1913B76307}">
  <ds:schemaRefs>
    <ds:schemaRef ds:uri="http://schemas.microsoft.com/sharepoint/v3/contenttype/forms"/>
  </ds:schemaRefs>
</ds:datastoreItem>
</file>

<file path=customXml/itemProps2.xml><?xml version="1.0" encoding="utf-8"?>
<ds:datastoreItem xmlns:ds="http://schemas.openxmlformats.org/officeDocument/2006/customXml" ds:itemID="{26A1860D-0E1E-42C5-9317-7B105E0EB4F6}">
  <ds:schemaRefs>
    <ds:schemaRef ds:uri="Microsoft.SharePoint.Taxonomy.ContentTypeSync"/>
  </ds:schemaRefs>
</ds:datastoreItem>
</file>

<file path=customXml/itemProps3.xml><?xml version="1.0" encoding="utf-8"?>
<ds:datastoreItem xmlns:ds="http://schemas.openxmlformats.org/officeDocument/2006/customXml" ds:itemID="{7B1515F6-7C06-49DD-8171-4AF44DCD5594}">
  <ds:schemaRefs>
    <ds:schemaRef ds:uri="http://schemas.microsoft.com/office/2006/documentManagement/types"/>
    <ds:schemaRef ds:uri="http://purl.org/dc/terms/"/>
    <ds:schemaRef ds:uri="http://purl.org/dc/dcmitype/"/>
    <ds:schemaRef ds:uri="http://schemas.microsoft.com/office/2006/metadata/properties"/>
    <ds:schemaRef ds:uri="http://schemas.microsoft.com/office/infopath/2007/PartnerControls"/>
    <ds:schemaRef ds:uri="71c5aaf6-e6ce-465b-b873-5148d2a4c105"/>
    <ds:schemaRef ds:uri="0b6aed8e-0313-4d17-80ff-d0e5da4931c5"/>
    <ds:schemaRef ds:uri="http://purl.org/dc/elements/1.1/"/>
    <ds:schemaRef ds:uri="http://schemas.openxmlformats.org/package/2006/metadata/core-properties"/>
    <ds:schemaRef ds:uri="3b34c8f0-1ef5-4d1e-bb66-517ce7fe7356"/>
    <ds:schemaRef ds:uri="http://www.w3.org/XML/1998/namespace"/>
  </ds:schemaRefs>
</ds:datastoreItem>
</file>

<file path=customXml/itemProps4.xml><?xml version="1.0" encoding="utf-8"?>
<ds:datastoreItem xmlns:ds="http://schemas.openxmlformats.org/officeDocument/2006/customXml" ds:itemID="{79BC67EE-9148-40C3-AAA0-113D2490FE51}">
  <ds:schemaRefs>
    <ds:schemaRef ds:uri="http://schemas.microsoft.com/sharepoint/events"/>
  </ds:schemaRefs>
</ds:datastoreItem>
</file>

<file path=customXml/itemProps5.xml><?xml version="1.0" encoding="utf-8"?>
<ds:datastoreItem xmlns:ds="http://schemas.openxmlformats.org/officeDocument/2006/customXml" ds:itemID="{85B3FFC0-ADBD-40FF-B93C-F2EE6FE2F6A6}">
  <ds:schemaRefs>
    <ds:schemaRef ds:uri="http://schemas.openxmlformats.org/officeDocument/2006/bibliography"/>
  </ds:schemaRefs>
</ds:datastoreItem>
</file>

<file path=customXml/itemProps6.xml><?xml version="1.0" encoding="utf-8"?>
<ds:datastoreItem xmlns:ds="http://schemas.openxmlformats.org/officeDocument/2006/customXml" ds:itemID="{FD695F52-4EE2-46E8-B493-91BC50364B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1594</Words>
  <Characters>9725</Characters>
  <Application>Microsoft Office Word</Application>
  <DocSecurity>0</DocSecurity>
  <Lines>81</Lines>
  <Paragraphs>22</Paragraphs>
  <ScaleCrop>false</ScaleCrop>
  <Company>ETSI-MCC</Company>
  <LinksUpToDate>false</LinksUpToDate>
  <CharactersWithSpaces>11297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cp:keywords>
  <dc:description/>
  <cp:lastModifiedBy>Nokia, Johannes</cp:lastModifiedBy>
  <cp:revision>8</cp:revision>
  <cp:lastPrinted>2013-03-22T15:57:00Z</cp:lastPrinted>
  <dcterms:created xsi:type="dcterms:W3CDTF">2021-08-06T18:37:00Z</dcterms:created>
  <dcterms:modified xsi:type="dcterms:W3CDTF">2021-10-22T17:44:00Z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b6b6c20d-caa7-41e8-952d-624c08ad7c0a</vt:lpwstr>
  </property>
</Properties>
</file>